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关于组织参加教育部202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年高校实验室安全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工作线上培训会的通知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为确保高校实验室安全运行，保障广大师生人身安全和校园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稳定，教育部科学技术与信息化司、高等教育司组织召开202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年高校实验室安全工作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/>
          <w:color w:val="000000"/>
          <w:sz w:val="32"/>
          <w:szCs w:val="32"/>
        </w:rPr>
        <w:t>培训会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学院定以集中观看学习的方式参会，</w:t>
      </w:r>
      <w:r>
        <w:rPr>
          <w:rFonts w:hint="eastAsia" w:ascii="仿宋" w:hAnsi="仿宋" w:eastAsia="仿宋"/>
          <w:color w:val="000000"/>
          <w:sz w:val="32"/>
          <w:szCs w:val="32"/>
        </w:rPr>
        <w:t>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一、时间：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年4月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szCs w:val="32"/>
        </w:rPr>
        <w:t>日（周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上午9:00-12:00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二、地点：</w:t>
      </w:r>
      <w:r>
        <w:rPr>
          <w:rFonts w:hint="eastAsia" w:ascii="仿宋" w:hAnsi="仿宋" w:eastAsia="仿宋"/>
          <w:color w:val="000000"/>
          <w:sz w:val="32"/>
          <w:szCs w:val="32"/>
        </w:rPr>
        <w:t>行政楼三楼会议室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三、参会人员：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实验室安全分管校领导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、教务处相关负责人、二级学院副院长、实验室管理员及实验教师等。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网络直播网址：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aqhd.las.chaoxing.com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1.请各二级学院于4月18日下班前将参会名单发送至焦海秀老师，并通知参会人员于4月21日（周一）15:00前扫描下方二维码完成报名。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53975</wp:posOffset>
            </wp:positionV>
            <wp:extent cx="3076575" cy="2933700"/>
            <wp:effectExtent l="0" t="0" r="9525" b="0"/>
            <wp:wrapSquare wrapText="bothSides"/>
            <wp:docPr id="2" name="图片 2" descr="174476574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765745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提醒参会人员提前10分钟签到，会议期间手机置于振动或关闭状态。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年4月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hint="eastAsia"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</w:pPr>
    </w:p>
    <w:tbl>
      <w:tblPr>
        <w:tblStyle w:val="5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Q2NWMzZWJjYzM2M2MxYmU1ZmJkMzEyOTAwNmEifQ=="/>
    <w:docVar w:name="KSO_WPS_MARK_KEY" w:val="10c8dbf5-a20d-4557-bc50-dc25aa16c045"/>
  </w:docVars>
  <w:rsids>
    <w:rsidRoot w:val="00825FBA"/>
    <w:rsid w:val="00080235"/>
    <w:rsid w:val="00211885"/>
    <w:rsid w:val="00221D3D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3B536CF"/>
    <w:rsid w:val="03D52274"/>
    <w:rsid w:val="080B0F92"/>
    <w:rsid w:val="0F8D6217"/>
    <w:rsid w:val="1342785F"/>
    <w:rsid w:val="1FEB1684"/>
    <w:rsid w:val="2EAC798E"/>
    <w:rsid w:val="3E2475EC"/>
    <w:rsid w:val="3F767DDB"/>
    <w:rsid w:val="401A7A2B"/>
    <w:rsid w:val="44E122B1"/>
    <w:rsid w:val="45191E0F"/>
    <w:rsid w:val="48B4240B"/>
    <w:rsid w:val="59134BB6"/>
    <w:rsid w:val="5CD44264"/>
    <w:rsid w:val="5CD75178"/>
    <w:rsid w:val="5E0F3288"/>
    <w:rsid w:val="63A42824"/>
    <w:rsid w:val="6D93072C"/>
    <w:rsid w:val="70F4438C"/>
    <w:rsid w:val="744D4DE6"/>
    <w:rsid w:val="7947211F"/>
    <w:rsid w:val="7951177A"/>
    <w:rsid w:val="79955FEF"/>
    <w:rsid w:val="7A7B2168"/>
    <w:rsid w:val="7E4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353</Words>
  <Characters>413</Characters>
  <Lines>1</Lines>
  <Paragraphs>1</Paragraphs>
  <TotalTime>65</TotalTime>
  <ScaleCrop>false</ScaleCrop>
  <LinksUpToDate>false</LinksUpToDate>
  <CharactersWithSpaces>486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海绵</cp:lastModifiedBy>
  <cp:lastPrinted>2024-04-24T09:05:00Z</cp:lastPrinted>
  <dcterms:modified xsi:type="dcterms:W3CDTF">2025-04-16T01:47:29Z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90C40C0E3B664192B098188C7C614167</vt:lpwstr>
  </property>
</Properties>
</file>