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jc w:val="center"/>
        <w:rPr>
          <w:rFonts w:hint="eastAsia" w:ascii="方正小标宋简体" w:hAnsi="黑体" w:eastAsia="方正小标宋简体"/>
          <w:w w:val="96"/>
          <w:sz w:val="32"/>
          <w:szCs w:val="32"/>
        </w:rPr>
      </w:pPr>
      <w:bookmarkStart w:id="0" w:name="_Toc386558541"/>
      <w:r>
        <w:rPr>
          <w:rFonts w:ascii="宋体" w:hAnsi="宋体"/>
          <w:b/>
          <w:bCs/>
          <w:sz w:val="24"/>
          <w:szCs w:val="24"/>
        </w:rPr>
        <w:pict>
          <v:shape id="艺术字 4" o:spid="_x0000_s1026" o:spt="136" type="#_x0000_t136" style="position:absolute;left:0pt;margin-left:-10.55pt;margin-top:16.35pt;height:60.75pt;width:464.25pt;mso-wrap-distance-bottom:0pt;mso-wrap-distance-left:9pt;mso-wrap-distance-right:9pt;mso-wrap-distance-top:0pt;z-index:251658240;mso-width-relative:page;mso-height-relative:page;" fillcolor="#FF0000" filled="t" coordsize="21600,21600">
            <v:path/>
            <v:fill on="t" focussize="0,0"/>
            <v:stroke weight="1.5pt" color="#FF0000"/>
            <v:imagedata o:title=""/>
            <o:lock v:ext="edit"/>
            <v:textpath on="t" fitshape="t" fitpath="t" trim="t" xscale="f" string="南昌大学共青学院文件" style="font-family:华文中宋;font-size:36pt;v-text-align:center;"/>
            <v:shadow on="t" color="#990000"/>
            <w10:wrap type="square"/>
          </v:shape>
        </w:pict>
      </w:r>
    </w:p>
    <w:p>
      <w:pPr>
        <w:overflowPunct w:val="0"/>
        <w:adjustRightInd w:val="0"/>
        <w:snapToGrid w:val="0"/>
        <w:jc w:val="center"/>
        <w:rPr>
          <w:rFonts w:hint="eastAsia" w:ascii="方正小标宋简体" w:hAnsi="黑体" w:eastAsia="方正小标宋简体"/>
          <w:w w:val="96"/>
          <w:sz w:val="32"/>
          <w:szCs w:val="32"/>
        </w:rPr>
      </w:pPr>
    </w:p>
    <w:p>
      <w:pPr>
        <w:overflowPunct w:val="0"/>
        <w:adjustRightInd w:val="0"/>
        <w:snapToGrid w:val="0"/>
        <w:jc w:val="center"/>
        <w:rPr>
          <w:rFonts w:hint="eastAsia" w:ascii="仿宋" w:hAnsi="仿宋" w:eastAsia="仿宋"/>
          <w:sz w:val="32"/>
          <w:szCs w:val="32"/>
          <w:lang w:val="en-US" w:eastAsia="zh-CN"/>
        </w:rPr>
      </w:pPr>
      <w:bookmarkStart w:id="3" w:name="_GoBack"/>
      <w:bookmarkEnd w:id="3"/>
      <w:r>
        <w:rPr>
          <w:rFonts w:hint="eastAsia" w:ascii="仿宋" w:hAnsi="仿宋" w:eastAsia="仿宋"/>
          <w:sz w:val="32"/>
          <w:szCs w:val="32"/>
          <w:lang w:val="en-US" w:eastAsia="zh-CN"/>
        </w:rPr>
        <w:t>共院教字〔2021〕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号</w:t>
      </w:r>
    </w:p>
    <w:p>
      <w:pPr>
        <w:overflowPunct w:val="0"/>
        <w:adjustRightInd w:val="0"/>
        <w:snapToGrid w:val="0"/>
        <w:jc w:val="center"/>
        <w:rPr>
          <w:rFonts w:hint="eastAsia" w:ascii="方正小标宋简体" w:hAnsi="黑体" w:eastAsia="方正小标宋简体"/>
          <w:w w:val="96"/>
          <w:sz w:val="32"/>
          <w:szCs w:val="32"/>
          <w:lang w:val="en-US" w:eastAsia="zh-CN"/>
        </w:rPr>
      </w:pPr>
    </w:p>
    <w:p>
      <w:pPr>
        <w:overflowPunct w:val="0"/>
        <w:adjustRightInd w:val="0"/>
        <w:snapToGrid w:val="0"/>
        <w:jc w:val="center"/>
        <w:rPr>
          <w:rFonts w:hint="default" w:ascii="方正小标宋简体" w:hAnsi="黑体" w:eastAsia="方正小标宋简体"/>
          <w:w w:val="96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pacing w:val="-16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85725</wp:posOffset>
                </wp:positionV>
                <wp:extent cx="6019800" cy="0"/>
                <wp:effectExtent l="0" t="25400" r="0" b="317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straightConnector1">
                          <a:avLst/>
                        </a:prstGeom>
                        <a:ln w="508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5.95pt;margin-top:6.75pt;height:0pt;width:474pt;z-index:251661312;mso-width-relative:page;mso-height-relative:page;" filled="f" stroked="t" coordsize="21600,21600" o:gfxdata="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8K&#10;GszaAAAADQEAAA8AAAAAAAAAAQAgAAAAIgAAAGRycy9kb3ducmV2LnhtbFBLAQIUABQAAAAIAIdO&#10;4kBJwCW46AEAAK0DAAAOAAAAAAAAAAEAIAAAACkBAABkcnMvZTJvRG9jLnhtbFBLBQYAAAAABgAG&#10;AFkBAACDBQAAAAA=&#10;">
                <v:fill on="f" focussize="0,0"/>
                <v:stroke weight="4pt" color="#FF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overflowPunct w:val="0"/>
        <w:adjustRightInd w:val="0"/>
        <w:snapToGrid w:val="0"/>
        <w:jc w:val="center"/>
        <w:rPr>
          <w:rFonts w:hint="default" w:ascii="方正小标宋简体" w:hAnsi="黑体" w:eastAsia="方正小标宋简体"/>
          <w:w w:val="96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center"/>
        <w:outlineLvl w:val="0"/>
        <w:rPr>
          <w:rFonts w:hint="eastAsia" w:ascii="方正小标宋简体" w:hAnsi="宋体" w:eastAsia="方正小标宋简体" w:cs="宋体"/>
          <w:b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kern w:val="0"/>
          <w:sz w:val="44"/>
          <w:szCs w:val="44"/>
        </w:rPr>
        <w:t>南昌大学共青学院</w:t>
      </w:r>
      <w:bookmarkEnd w:id="0"/>
      <w:bookmarkStart w:id="1" w:name="_Toc386556505"/>
      <w:bookmarkStart w:id="2" w:name="_Toc386558542"/>
      <w:r>
        <w:rPr>
          <w:rFonts w:hint="eastAsia" w:ascii="方正小标宋简体" w:hAnsi="宋体" w:eastAsia="方正小标宋简体" w:cs="宋体"/>
          <w:b/>
          <w:kern w:val="0"/>
          <w:sz w:val="44"/>
          <w:szCs w:val="44"/>
        </w:rPr>
        <w:t>优秀毕业设计（论文）</w:t>
      </w:r>
    </w:p>
    <w:p>
      <w:pPr>
        <w:widowControl/>
        <w:spacing w:line="560" w:lineRule="exact"/>
        <w:jc w:val="center"/>
        <w:outlineLvl w:val="0"/>
        <w:rPr>
          <w:rFonts w:ascii="方正小标宋简体" w:hAnsi="宋体" w:eastAsia="方正小标宋简体" w:cs="宋体"/>
          <w:b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kern w:val="0"/>
          <w:sz w:val="44"/>
          <w:szCs w:val="44"/>
        </w:rPr>
        <w:t>评选奖励办法（修订）</w:t>
      </w:r>
      <w:bookmarkEnd w:id="1"/>
      <w:bookmarkEnd w:id="2"/>
    </w:p>
    <w:p>
      <w:pPr>
        <w:widowControl/>
        <w:spacing w:line="560" w:lineRule="exact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毕业设计（论文）是本科学生在掌握本门学科的基础理论、专门知识和基本技能的基础上，进行科学研究工作的训练，培养独立工作能力的重要环节，对全面提高教学质量有着十分重要的意义。</w:t>
      </w:r>
      <w:r>
        <w:rPr>
          <w:rFonts w:ascii="仿宋" w:hAnsi="仿宋" w:eastAsia="仿宋" w:cs="宋体"/>
          <w:kern w:val="0"/>
          <w:sz w:val="32"/>
          <w:szCs w:val="32"/>
        </w:rPr>
        <w:t>为了提高毕业设计（论文）的质量，</w:t>
      </w:r>
      <w:r>
        <w:rPr>
          <w:rFonts w:hint="eastAsia" w:ascii="仿宋" w:hAnsi="仿宋" w:eastAsia="仿宋" w:cs="宋体"/>
          <w:kern w:val="0"/>
          <w:sz w:val="32"/>
          <w:szCs w:val="32"/>
        </w:rPr>
        <w:t>学院决定设立优秀毕业设计（论文）奖，</w:t>
      </w:r>
      <w:r>
        <w:rPr>
          <w:rFonts w:ascii="仿宋" w:hAnsi="仿宋" w:eastAsia="仿宋" w:cs="宋体"/>
          <w:kern w:val="0"/>
          <w:sz w:val="32"/>
          <w:szCs w:val="32"/>
        </w:rPr>
        <w:t>并制定本实施细则</w:t>
      </w:r>
      <w:r>
        <w:rPr>
          <w:rFonts w:hint="eastAsia" w:ascii="仿宋" w:hAnsi="仿宋" w:eastAsia="仿宋" w:cs="宋体"/>
          <w:kern w:val="0"/>
          <w:sz w:val="32"/>
          <w:szCs w:val="32"/>
        </w:rPr>
        <w:t>如下：</w:t>
      </w:r>
    </w:p>
    <w:p>
      <w:pPr>
        <w:widowControl/>
        <w:spacing w:line="560" w:lineRule="exact"/>
        <w:ind w:firstLine="643" w:firstLineChars="200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ascii="黑体" w:hAnsi="黑体" w:eastAsia="黑体" w:cs="宋体"/>
          <w:b/>
          <w:kern w:val="0"/>
          <w:sz w:val="32"/>
          <w:szCs w:val="32"/>
        </w:rPr>
        <w:t>一、评选范围与数量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当年全日制本科生的毕业设计（论文）成绩为优秀的，经</w:t>
      </w:r>
      <w:r>
        <w:rPr>
          <w:rFonts w:hint="eastAsia" w:ascii="仿宋" w:hAnsi="仿宋" w:eastAsia="仿宋" w:cs="宋体"/>
          <w:kern w:val="0"/>
          <w:sz w:val="32"/>
          <w:szCs w:val="32"/>
        </w:rPr>
        <w:t>系</w:t>
      </w:r>
      <w:r>
        <w:rPr>
          <w:rFonts w:ascii="仿宋" w:hAnsi="仿宋" w:eastAsia="仿宋" w:cs="宋体"/>
          <w:kern w:val="0"/>
          <w:sz w:val="32"/>
          <w:szCs w:val="32"/>
        </w:rPr>
        <w:t>推荐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，教务处审核后，</w:t>
      </w:r>
      <w:r>
        <w:rPr>
          <w:rFonts w:ascii="仿宋" w:hAnsi="仿宋" w:eastAsia="仿宋" w:cs="宋体"/>
          <w:kern w:val="0"/>
          <w:sz w:val="32"/>
          <w:szCs w:val="32"/>
        </w:rPr>
        <w:t>可参加</w:t>
      </w:r>
      <w:r>
        <w:rPr>
          <w:rFonts w:hint="eastAsia" w:ascii="仿宋" w:hAnsi="仿宋" w:eastAsia="仿宋" w:cs="宋体"/>
          <w:kern w:val="0"/>
          <w:sz w:val="32"/>
          <w:szCs w:val="32"/>
        </w:rPr>
        <w:t>南昌大学共青学院优秀毕业设计（论文）评选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</w:rPr>
        <w:t>按全院本科毕业生数量的2%比例评选院级优秀毕业设计（论文）。</w:t>
      </w:r>
    </w:p>
    <w:p>
      <w:pPr>
        <w:widowControl/>
        <w:spacing w:line="560" w:lineRule="exact"/>
        <w:ind w:firstLine="643" w:firstLineChars="200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ascii="黑体" w:hAnsi="黑体" w:eastAsia="黑体" w:cs="宋体"/>
          <w:b/>
          <w:kern w:val="0"/>
          <w:sz w:val="32"/>
          <w:szCs w:val="32"/>
        </w:rPr>
        <w:t>二、推荐办法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院级优秀毕业设计（论文）除满足《南昌大学本科生毕业设计（论文）管理办法》中“优秀”成绩评分标准外，还要求有一定的创新性，有一定的实用价值。</w:t>
      </w:r>
      <w:r>
        <w:rPr>
          <w:rFonts w:ascii="仿宋" w:hAnsi="仿宋" w:eastAsia="仿宋" w:cs="宋体"/>
          <w:kern w:val="0"/>
          <w:sz w:val="32"/>
          <w:szCs w:val="32"/>
        </w:rPr>
        <w:t>各</w:t>
      </w:r>
      <w:r>
        <w:rPr>
          <w:rFonts w:hint="eastAsia" w:ascii="仿宋" w:hAnsi="仿宋" w:eastAsia="仿宋" w:cs="宋体"/>
          <w:kern w:val="0"/>
          <w:sz w:val="32"/>
          <w:szCs w:val="32"/>
        </w:rPr>
        <w:t>系</w:t>
      </w:r>
      <w:r>
        <w:rPr>
          <w:rFonts w:ascii="仿宋" w:hAnsi="仿宋" w:eastAsia="仿宋" w:cs="宋体"/>
          <w:kern w:val="0"/>
          <w:sz w:val="32"/>
          <w:szCs w:val="32"/>
        </w:rPr>
        <w:t>要组织专家对</w:t>
      </w:r>
      <w:r>
        <w:rPr>
          <w:rFonts w:hint="eastAsia" w:ascii="仿宋" w:hAnsi="仿宋" w:eastAsia="仿宋" w:cs="宋体"/>
          <w:kern w:val="0"/>
          <w:sz w:val="32"/>
          <w:szCs w:val="32"/>
        </w:rPr>
        <w:t>指导出的</w:t>
      </w:r>
      <w:r>
        <w:rPr>
          <w:rFonts w:ascii="仿宋" w:hAnsi="仿宋" w:eastAsia="仿宋" w:cs="宋体"/>
          <w:kern w:val="0"/>
          <w:sz w:val="32"/>
          <w:szCs w:val="32"/>
        </w:rPr>
        <w:t>优秀毕业设计（论文）进行评审，并按照下达的数额择优向学校推荐。</w:t>
      </w:r>
    </w:p>
    <w:p>
      <w:pPr>
        <w:widowControl/>
        <w:spacing w:line="560" w:lineRule="exact"/>
        <w:ind w:firstLine="643" w:firstLineChars="200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ascii="黑体" w:hAnsi="黑体" w:eastAsia="黑体" w:cs="宋体"/>
          <w:b/>
          <w:kern w:val="0"/>
          <w:sz w:val="32"/>
          <w:szCs w:val="32"/>
        </w:rPr>
        <w:t>三、材料申报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各</w:t>
      </w:r>
      <w:r>
        <w:rPr>
          <w:rFonts w:hint="eastAsia" w:ascii="仿宋" w:hAnsi="仿宋" w:eastAsia="仿宋" w:cs="宋体"/>
          <w:kern w:val="0"/>
          <w:sz w:val="32"/>
          <w:szCs w:val="32"/>
        </w:rPr>
        <w:t>系</w:t>
      </w:r>
      <w:r>
        <w:rPr>
          <w:rFonts w:ascii="仿宋" w:hAnsi="仿宋" w:eastAsia="仿宋" w:cs="宋体"/>
          <w:kern w:val="0"/>
          <w:sz w:val="32"/>
          <w:szCs w:val="32"/>
        </w:rPr>
        <w:t>申报优秀毕业设计（论文）需报送以下材料：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ascii="仿宋" w:hAnsi="仿宋" w:eastAsia="仿宋" w:cs="宋体"/>
          <w:kern w:val="0"/>
          <w:sz w:val="32"/>
          <w:szCs w:val="32"/>
        </w:rPr>
        <w:t>《南昌大学</w:t>
      </w:r>
      <w:r>
        <w:rPr>
          <w:rFonts w:hint="eastAsia" w:ascii="仿宋" w:hAnsi="仿宋" w:eastAsia="仿宋" w:cs="宋体"/>
          <w:kern w:val="0"/>
          <w:sz w:val="32"/>
          <w:szCs w:val="32"/>
        </w:rPr>
        <w:t>共青学院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>  </w:t>
      </w:r>
      <w:r>
        <w:rPr>
          <w:rFonts w:ascii="仿宋" w:hAnsi="仿宋" w:eastAsia="仿宋" w:cs="宋体"/>
          <w:kern w:val="0"/>
          <w:sz w:val="32"/>
          <w:szCs w:val="32"/>
          <w:u w:val="single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届优秀毕业设计（论文）申报表》及电子版本；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ascii="仿宋" w:hAnsi="仿宋" w:eastAsia="仿宋" w:cs="宋体"/>
          <w:kern w:val="0"/>
          <w:sz w:val="32"/>
          <w:szCs w:val="32"/>
        </w:rPr>
        <w:t>《南昌大学</w:t>
      </w:r>
      <w:r>
        <w:rPr>
          <w:rFonts w:hint="eastAsia" w:ascii="仿宋" w:hAnsi="仿宋" w:eastAsia="仿宋" w:cs="宋体"/>
          <w:kern w:val="0"/>
          <w:sz w:val="32"/>
          <w:szCs w:val="32"/>
        </w:rPr>
        <w:t>共青学院</w:t>
      </w:r>
      <w:r>
        <w:rPr>
          <w:rFonts w:ascii="仿宋" w:hAnsi="仿宋" w:eastAsia="仿宋" w:cs="宋体"/>
          <w:kern w:val="0"/>
          <w:sz w:val="32"/>
          <w:szCs w:val="32"/>
        </w:rPr>
        <w:t>本科生优秀毕业设计（论文）推荐表》及电子版本；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ascii="仿宋" w:hAnsi="仿宋" w:eastAsia="仿宋" w:cs="宋体"/>
          <w:kern w:val="0"/>
          <w:sz w:val="32"/>
          <w:szCs w:val="32"/>
        </w:rPr>
        <w:t>毕业设计（论文）原件（已装订好）及电子版本；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4、</w:t>
      </w:r>
      <w:r>
        <w:rPr>
          <w:rFonts w:ascii="仿宋" w:hAnsi="仿宋" w:eastAsia="仿宋" w:cs="宋体"/>
          <w:kern w:val="0"/>
          <w:sz w:val="32"/>
          <w:szCs w:val="32"/>
        </w:rPr>
        <w:t>《南昌大学</w:t>
      </w:r>
      <w:r>
        <w:rPr>
          <w:rFonts w:hint="eastAsia" w:ascii="仿宋" w:hAnsi="仿宋" w:eastAsia="仿宋" w:cs="宋体"/>
          <w:kern w:val="0"/>
          <w:sz w:val="32"/>
          <w:szCs w:val="32"/>
        </w:rPr>
        <w:t>共青学院</w:t>
      </w:r>
      <w:r>
        <w:rPr>
          <w:rFonts w:ascii="仿宋" w:hAnsi="仿宋" w:eastAsia="仿宋" w:cs="宋体"/>
          <w:kern w:val="0"/>
          <w:sz w:val="32"/>
          <w:szCs w:val="32"/>
        </w:rPr>
        <w:t>本科生毕业设计（论文）评阅人评审表》（复印件）；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5、</w:t>
      </w:r>
      <w:r>
        <w:rPr>
          <w:rFonts w:ascii="仿宋" w:hAnsi="仿宋" w:eastAsia="仿宋" w:cs="宋体"/>
          <w:kern w:val="0"/>
          <w:sz w:val="32"/>
          <w:szCs w:val="32"/>
        </w:rPr>
        <w:t>《南昌大学</w:t>
      </w:r>
      <w:r>
        <w:rPr>
          <w:rFonts w:hint="eastAsia" w:ascii="仿宋" w:hAnsi="仿宋" w:eastAsia="仿宋" w:cs="宋体"/>
          <w:kern w:val="0"/>
          <w:sz w:val="32"/>
          <w:szCs w:val="32"/>
        </w:rPr>
        <w:t>共青学院</w:t>
      </w:r>
      <w:r>
        <w:rPr>
          <w:rFonts w:hint="eastAsia" w:ascii="宋体" w:hAnsi="宋体" w:cs="宋体"/>
          <w:kern w:val="0"/>
          <w:sz w:val="32"/>
          <w:szCs w:val="32"/>
          <w:u w:val="single"/>
        </w:rPr>
        <w:t>   </w:t>
      </w:r>
      <w:r>
        <w:rPr>
          <w:rFonts w:ascii="仿宋" w:hAnsi="仿宋" w:eastAsia="仿宋" w:cs="宋体"/>
          <w:kern w:val="0"/>
          <w:sz w:val="32"/>
          <w:szCs w:val="32"/>
          <w:u w:val="single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届本科生毕业设计（论文）答辩评分表》（复印件）。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对申报的毕业设计（论文）需有一位专家(副教授职称以上，校内外均可)作出真实具体评价，系教研室须签署推荐评审意见。对未完成以上工作的毕业设计（论文），学院不受理其申请。</w:t>
      </w:r>
    </w:p>
    <w:p>
      <w:pPr>
        <w:widowControl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黑体" w:hAnsi="黑体" w:eastAsia="黑体" w:cs="宋体"/>
          <w:b/>
          <w:kern w:val="0"/>
          <w:sz w:val="32"/>
          <w:szCs w:val="32"/>
        </w:rPr>
        <w:t>四、评选程序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学校组织专家对各</w:t>
      </w:r>
      <w:r>
        <w:rPr>
          <w:rFonts w:hint="eastAsia" w:ascii="仿宋" w:hAnsi="仿宋" w:eastAsia="仿宋" w:cs="宋体"/>
          <w:kern w:val="0"/>
          <w:sz w:val="32"/>
          <w:szCs w:val="32"/>
        </w:rPr>
        <w:t>系</w:t>
      </w:r>
      <w:r>
        <w:rPr>
          <w:rFonts w:ascii="仿宋" w:hAnsi="仿宋" w:eastAsia="仿宋" w:cs="宋体"/>
          <w:kern w:val="0"/>
          <w:sz w:val="32"/>
          <w:szCs w:val="32"/>
        </w:rPr>
        <w:t>推荐的本科生优秀毕业设计（论文）进行评审。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</w:t>
      </w:r>
      <w:r>
        <w:rPr>
          <w:rFonts w:ascii="仿宋" w:hAnsi="仿宋" w:eastAsia="仿宋" w:cs="宋体"/>
          <w:kern w:val="0"/>
          <w:sz w:val="32"/>
          <w:szCs w:val="32"/>
        </w:rPr>
        <w:t>设计（论文）</w:t>
      </w:r>
      <w:r>
        <w:rPr>
          <w:rFonts w:hint="eastAsia" w:ascii="仿宋" w:hAnsi="仿宋" w:eastAsia="仿宋" w:cs="宋体"/>
          <w:kern w:val="0"/>
          <w:sz w:val="32"/>
          <w:szCs w:val="32"/>
        </w:rPr>
        <w:t>的质量，</w:t>
      </w:r>
      <w:r>
        <w:rPr>
          <w:rFonts w:ascii="仿宋" w:hAnsi="仿宋" w:eastAsia="仿宋" w:cs="宋体"/>
          <w:kern w:val="0"/>
          <w:sz w:val="32"/>
          <w:szCs w:val="32"/>
        </w:rPr>
        <w:t>专家</w:t>
      </w:r>
      <w:r>
        <w:rPr>
          <w:rFonts w:hint="eastAsia" w:ascii="仿宋" w:hAnsi="仿宋" w:eastAsia="仿宋" w:cs="宋体"/>
          <w:kern w:val="0"/>
          <w:sz w:val="32"/>
          <w:szCs w:val="32"/>
        </w:rPr>
        <w:t>确定</w:t>
      </w:r>
      <w:r>
        <w:rPr>
          <w:rFonts w:ascii="仿宋" w:hAnsi="仿宋" w:eastAsia="仿宋" w:cs="宋体"/>
          <w:kern w:val="0"/>
          <w:sz w:val="32"/>
          <w:szCs w:val="32"/>
        </w:rPr>
        <w:t>院级优秀毕业设计（论文）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，与各系</w:t>
      </w:r>
      <w:r>
        <w:rPr>
          <w:rFonts w:ascii="仿宋" w:hAnsi="仿宋" w:eastAsia="仿宋" w:cs="宋体"/>
          <w:kern w:val="0"/>
          <w:sz w:val="32"/>
          <w:szCs w:val="32"/>
        </w:rPr>
        <w:t>本科</w:t>
      </w:r>
      <w:r>
        <w:rPr>
          <w:rFonts w:hint="eastAsia" w:ascii="仿宋" w:hAnsi="仿宋" w:eastAsia="仿宋" w:cs="宋体"/>
          <w:kern w:val="0"/>
          <w:sz w:val="32"/>
          <w:szCs w:val="32"/>
        </w:rPr>
        <w:t>毕业</w:t>
      </w:r>
      <w:r>
        <w:rPr>
          <w:rFonts w:ascii="仿宋" w:hAnsi="仿宋" w:eastAsia="仿宋" w:cs="宋体"/>
          <w:kern w:val="0"/>
          <w:sz w:val="32"/>
          <w:szCs w:val="32"/>
        </w:rPr>
        <w:t>生</w:t>
      </w:r>
      <w:r>
        <w:rPr>
          <w:rFonts w:hint="eastAsia" w:ascii="仿宋" w:hAnsi="仿宋" w:eastAsia="仿宋" w:cs="宋体"/>
          <w:kern w:val="0"/>
          <w:sz w:val="32"/>
          <w:szCs w:val="32"/>
        </w:rPr>
        <w:t>数量比例无关。</w:t>
      </w:r>
      <w:r>
        <w:rPr>
          <w:rFonts w:ascii="仿宋" w:hAnsi="仿宋" w:eastAsia="仿宋" w:cs="宋体"/>
          <w:kern w:val="0"/>
          <w:sz w:val="32"/>
          <w:szCs w:val="32"/>
        </w:rPr>
        <w:t>专家评审结果经学校审核后予以公示。</w:t>
      </w:r>
    </w:p>
    <w:p>
      <w:pPr>
        <w:widowControl/>
        <w:spacing w:line="560" w:lineRule="exact"/>
        <w:ind w:firstLine="643" w:firstLineChars="200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ascii="黑体" w:hAnsi="黑体" w:eastAsia="黑体" w:cs="宋体"/>
          <w:b/>
          <w:kern w:val="0"/>
          <w:sz w:val="32"/>
          <w:szCs w:val="32"/>
        </w:rPr>
        <w:t>五、表彰奖励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专家评审出的院级本科生优秀毕业设计（论文），公示后若无争议，学校将进行表彰和奖励。同时，学校将把院级本科生优秀毕业设计（论文）送江西省教育厅参加省级优秀毕业设计（论文）评选，评为省级优秀毕业设计（论文）的，学校另行奖励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1、</w:t>
      </w:r>
      <w:r>
        <w:rPr>
          <w:rFonts w:ascii="仿宋" w:hAnsi="仿宋" w:eastAsia="仿宋" w:cs="宋体"/>
          <w:kern w:val="0"/>
          <w:sz w:val="32"/>
          <w:szCs w:val="32"/>
        </w:rPr>
        <w:t>获得院级优秀毕业设计（论文）的学生，学校予以表彰并发给荣誉证书。同时，学校奖励每篇优秀毕业设计（论文）</w:t>
      </w:r>
      <w:r>
        <w:rPr>
          <w:rFonts w:hint="eastAsia" w:ascii="仿宋" w:hAnsi="仿宋" w:eastAsia="仿宋" w:cs="宋体"/>
          <w:kern w:val="0"/>
          <w:sz w:val="32"/>
          <w:szCs w:val="32"/>
        </w:rPr>
        <w:t>1000</w:t>
      </w:r>
      <w:r>
        <w:rPr>
          <w:rFonts w:ascii="仿宋" w:hAnsi="仿宋" w:eastAsia="仿宋" w:cs="宋体"/>
          <w:kern w:val="0"/>
          <w:sz w:val="32"/>
          <w:szCs w:val="32"/>
        </w:rPr>
        <w:t>元，其中学生</w:t>
      </w:r>
      <w:r>
        <w:rPr>
          <w:rFonts w:hint="eastAsia" w:ascii="仿宋" w:hAnsi="仿宋" w:eastAsia="仿宋" w:cs="宋体"/>
          <w:kern w:val="0"/>
          <w:sz w:val="32"/>
          <w:szCs w:val="32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00元，指导教师</w:t>
      </w:r>
      <w:r>
        <w:rPr>
          <w:rFonts w:hint="eastAsia" w:ascii="仿宋" w:hAnsi="仿宋" w:eastAsia="仿宋" w:cs="宋体"/>
          <w:kern w:val="0"/>
          <w:sz w:val="32"/>
          <w:szCs w:val="32"/>
        </w:rPr>
        <w:t>500</w:t>
      </w:r>
      <w:r>
        <w:rPr>
          <w:rFonts w:ascii="仿宋" w:hAnsi="仿宋" w:eastAsia="仿宋" w:cs="宋体"/>
          <w:kern w:val="0"/>
          <w:sz w:val="32"/>
          <w:szCs w:val="32"/>
        </w:rPr>
        <w:t>元。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、对获得江西省优秀毕业设计（论文）一、二、三等奖的设计（论文）作者、指导教师参照《南昌大学共青学院学院参加省级以上学习竞赛活动奖励暂行条例》、《南昌大学共青学院教学科研成果奖励办法》给予奖励，同时对该学生所在系主任给予一定奖励。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ascii="仿宋" w:hAnsi="仿宋" w:eastAsia="仿宋" w:cs="宋体"/>
          <w:kern w:val="0"/>
          <w:sz w:val="32"/>
          <w:szCs w:val="32"/>
        </w:rPr>
        <w:t>组织奖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根据各</w:t>
      </w:r>
      <w:r>
        <w:rPr>
          <w:rFonts w:hint="eastAsia" w:ascii="仿宋" w:hAnsi="仿宋" w:eastAsia="仿宋" w:cs="宋体"/>
          <w:kern w:val="0"/>
          <w:sz w:val="32"/>
          <w:szCs w:val="32"/>
        </w:rPr>
        <w:t>系</w:t>
      </w:r>
      <w:r>
        <w:rPr>
          <w:rFonts w:ascii="仿宋" w:hAnsi="仿宋" w:eastAsia="仿宋" w:cs="宋体"/>
          <w:kern w:val="0"/>
          <w:sz w:val="32"/>
          <w:szCs w:val="32"/>
        </w:rPr>
        <w:t>推荐的优秀毕业设计（论文）比例、在</w:t>
      </w:r>
      <w:r>
        <w:rPr>
          <w:rFonts w:hint="eastAsia" w:ascii="仿宋" w:hAnsi="仿宋" w:eastAsia="仿宋" w:cs="宋体"/>
          <w:kern w:val="0"/>
          <w:sz w:val="32"/>
          <w:szCs w:val="32"/>
        </w:rPr>
        <w:t>学院</w:t>
      </w:r>
      <w:r>
        <w:rPr>
          <w:rFonts w:ascii="仿宋" w:hAnsi="仿宋" w:eastAsia="仿宋" w:cs="宋体"/>
          <w:kern w:val="0"/>
          <w:sz w:val="32"/>
          <w:szCs w:val="32"/>
        </w:rPr>
        <w:t>优秀毕业设计（论文）中所占比例及获省级优秀毕业设计（论文）数评出组织奖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，并作为毕业论文(设计)工作优秀系的依据之一。</w:t>
      </w:r>
    </w:p>
    <w:p>
      <w:pPr>
        <w:widowControl/>
        <w:spacing w:line="560" w:lineRule="exact"/>
        <w:ind w:firstLine="643" w:firstLineChars="200"/>
        <w:jc w:val="left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</w:rPr>
        <w:t>六、其他事项</w:t>
      </w:r>
    </w:p>
    <w:p>
      <w:pPr>
        <w:widowControl/>
        <w:spacing w:line="560" w:lineRule="exact"/>
        <w:ind w:firstLine="630" w:firstLineChars="3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fldChar w:fldCharType="begin"/>
      </w:r>
      <w:r>
        <w:instrText xml:space="preserve"> HYPERLINK "http://www.ncujw.cn/admin/eWebEditor_jwc/ewebeditor.asp?id=content&amp;style=s_coolblue" \l "目录" </w:instrText>
      </w:r>
      <w:r>
        <w:fldChar w:fldCharType="separate"/>
      </w:r>
      <w:r>
        <w:rPr>
          <w:rFonts w:ascii="仿宋" w:hAnsi="仿宋" w:eastAsia="仿宋" w:cs="宋体"/>
          <w:kern w:val="0"/>
          <w:sz w:val="32"/>
          <w:szCs w:val="32"/>
        </w:rPr>
        <w:t>本</w:t>
      </w:r>
      <w:r>
        <w:rPr>
          <w:rFonts w:hint="eastAsia" w:ascii="仿宋" w:hAnsi="仿宋" w:eastAsia="仿宋" w:cs="宋体"/>
          <w:kern w:val="0"/>
          <w:sz w:val="32"/>
          <w:szCs w:val="32"/>
        </w:rPr>
        <w:t>修订办法自公布之日起施行，由教务处</w:t>
      </w:r>
      <w:r>
        <w:rPr>
          <w:rFonts w:ascii="仿宋" w:hAnsi="仿宋" w:eastAsia="仿宋" w:cs="宋体"/>
          <w:kern w:val="0"/>
          <w:sz w:val="32"/>
          <w:szCs w:val="32"/>
        </w:rPr>
        <w:t>负责解释。</w:t>
      </w:r>
      <w:r>
        <w:rPr>
          <w:rFonts w:hint="eastAsia" w:ascii="仿宋" w:hAnsi="仿宋" w:eastAsia="仿宋" w:cs="宋体"/>
          <w:kern w:val="0"/>
          <w:sz w:val="32"/>
          <w:szCs w:val="32"/>
        </w:rPr>
        <w:t>原《南昌大学共青学院优秀毕业论文（设计）评选奖励办法（修订）》(共院发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〔2009〕</w:t>
      </w:r>
      <w:r>
        <w:rPr>
          <w:rFonts w:hint="eastAsia" w:ascii="仿宋" w:hAnsi="仿宋" w:eastAsia="仿宋" w:cs="宋体"/>
          <w:kern w:val="0"/>
          <w:sz w:val="32"/>
          <w:szCs w:val="32"/>
        </w:rPr>
        <w:t>150号)文件同时废止。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widowControl/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460" w:lineRule="exact"/>
        <w:ind w:firstLine="480" w:firstLineChars="200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440" w:firstLineChars="17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南昌大学共青学院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tbl>
      <w:tblPr>
        <w:tblStyle w:val="5"/>
        <w:tblpPr w:leftFromText="180" w:rightFromText="180" w:vertAnchor="text" w:horzAnchor="page" w:tblpX="1420" w:tblpY="45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88" w:type="dxa"/>
            <w:tcBorders>
              <w:left w:val="nil"/>
              <w:right w:val="nil"/>
            </w:tcBorders>
            <w:noWrap w:val="0"/>
            <w:vAlign w:val="center"/>
          </w:tcPr>
          <w:p>
            <w:pPr>
              <w:spacing w:line="480" w:lineRule="exact"/>
              <w:ind w:firstLine="160" w:firstLineChars="50"/>
              <w:jc w:val="center"/>
              <w:rPr>
                <w:rFonts w:hint="eastAsia" w:ascii="仿宋_GB2312" w:hAnsi="华文仿宋" w:eastAsia="仿宋_GB2312"/>
                <w:sz w:val="32"/>
                <w:szCs w:val="32"/>
              </w:rPr>
            </w:pPr>
            <w:r>
              <w:rPr>
                <w:rFonts w:hint="eastAsia" w:ascii="仿宋_GB2312" w:hAnsi="华文仿宋" w:eastAsia="仿宋_GB2312"/>
                <w:sz w:val="32"/>
                <w:szCs w:val="32"/>
              </w:rPr>
              <w:t>南昌大学共青学院院长办公室      2021年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仿宋_GB2312" w:hAnsi="华文仿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仿宋" w:eastAsia="仿宋_GB2312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仿宋_GB2312" w:hAnsi="华文仿宋" w:eastAsia="仿宋_GB2312"/>
                <w:sz w:val="32"/>
                <w:szCs w:val="32"/>
              </w:rPr>
              <w:t>日印发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footerReference r:id="rId3" w:type="default"/>
      <w:footerReference r:id="rId4" w:type="even"/>
      <w:pgSz w:w="11906" w:h="16838"/>
      <w:pgMar w:top="1440" w:right="1576" w:bottom="1440" w:left="1576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5913911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>
        <w:pPr>
          <w:pStyle w:val="3"/>
          <w:jc w:val="right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3 -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3182089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</w:rPr>
    </w:sdtEndPr>
    <w:sdtContent>
      <w:p>
        <w:pPr>
          <w:pStyle w:val="3"/>
          <w:rPr>
            <w:rFonts w:asciiTheme="minorEastAsia" w:hAnsiTheme="minorEastAsia" w:eastAsiaTheme="minorEastAsia"/>
            <w:sz w:val="28"/>
          </w:rPr>
        </w:pPr>
        <w:r>
          <w:rPr>
            <w:rFonts w:asciiTheme="minorEastAsia" w:hAnsiTheme="minorEastAsia" w:eastAsiaTheme="minorEastAsia"/>
            <w:sz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</w:rPr>
          <w:t xml:space="preserve"> 2 -</w:t>
        </w:r>
        <w:r>
          <w:rPr>
            <w:rFonts w:asciiTheme="minorEastAsia" w:hAnsiTheme="minorEastAsia" w:eastAsiaTheme="minorEastAsia"/>
            <w:sz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7A"/>
    <w:rsid w:val="000405CA"/>
    <w:rsid w:val="000E6D0E"/>
    <w:rsid w:val="002D29A1"/>
    <w:rsid w:val="0033144D"/>
    <w:rsid w:val="0037214D"/>
    <w:rsid w:val="00426350"/>
    <w:rsid w:val="004A7830"/>
    <w:rsid w:val="0066269D"/>
    <w:rsid w:val="006F587A"/>
    <w:rsid w:val="007F4AA9"/>
    <w:rsid w:val="00822BCE"/>
    <w:rsid w:val="00843707"/>
    <w:rsid w:val="00942663"/>
    <w:rsid w:val="00A51CE1"/>
    <w:rsid w:val="00AC5D53"/>
    <w:rsid w:val="00B75734"/>
    <w:rsid w:val="00D1238D"/>
    <w:rsid w:val="00EA4B06"/>
    <w:rsid w:val="00EB1130"/>
    <w:rsid w:val="00ED609E"/>
    <w:rsid w:val="00F16211"/>
    <w:rsid w:val="00F925D4"/>
    <w:rsid w:val="28E0443E"/>
    <w:rsid w:val="7D3502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8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203</Words>
  <Characters>1160</Characters>
  <Lines>9</Lines>
  <Paragraphs>2</Paragraphs>
  <TotalTime>0</TotalTime>
  <ScaleCrop>false</ScaleCrop>
  <LinksUpToDate>false</LinksUpToDate>
  <CharactersWithSpaces>1361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2019-09-16T03:26:00Z</dcterms:created>
  <dc:creator>Administrator</dc:creator>
  <cp:lastModifiedBy>Administrator</cp:lastModifiedBy>
  <cp:lastPrinted>2021-05-21T06:45:00Z</cp:lastPrinted>
  <dcterms:modified xsi:type="dcterms:W3CDTF">2021-05-21T06:58:57Z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