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F42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jc w:val="center"/>
        <w:textAlignment w:val="auto"/>
        <w:rPr>
          <w:rFonts w:ascii="Times New Roman" w:hAnsi="Times New Roman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sz w:val="44"/>
          <w:szCs w:val="44"/>
        </w:rPr>
        <w:t>第三届全国大学生职业规划大赛</w:t>
      </w:r>
    </w:p>
    <w:p w14:paraId="4118A5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jc w:val="center"/>
        <w:textAlignment w:val="auto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成长赛道方案</w:t>
      </w:r>
    </w:p>
    <w:p w14:paraId="63BB4F96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jc w:val="center"/>
        <w:textAlignment w:val="auto"/>
        <w:rPr>
          <w:rFonts w:ascii="Times New Roman" w:hAnsi="Times New Roman" w:eastAsia="黑体" w:cs="仿宋_GB2312"/>
          <w:bCs/>
          <w:color w:val="000000"/>
          <w:sz w:val="32"/>
          <w:szCs w:val="32"/>
        </w:rPr>
      </w:pPr>
    </w:p>
    <w:p w14:paraId="5F3AFF38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Times New Roman" w:hAnsi="Times New Roman" w:eastAsia="黑体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 w:val="32"/>
          <w:szCs w:val="32"/>
        </w:rPr>
        <w:t>一、比赛内容</w:t>
      </w:r>
    </w:p>
    <w:p w14:paraId="37FB5D89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考察学生</w:t>
      </w:r>
      <w:r>
        <w:rPr>
          <w:rFonts w:hint="eastAsia" w:ascii="Times New Roman" w:hAnsi="Times New Roman" w:eastAsia="仿宋_GB2312" w:cs="仿宋_GB2312"/>
          <w:sz w:val="32"/>
          <w:szCs w:val="22"/>
        </w:rPr>
        <w:t>树立生涯发展理念并合理设定职业目标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、围绕实现目标持续行动并不断调整的成长过程</w:t>
      </w:r>
      <w:r>
        <w:rPr>
          <w:rFonts w:hint="eastAsia" w:ascii="Times New Roman" w:hAnsi="Times New Roman" w:eastAsia="仿宋_GB2312" w:cs="仿宋_GB2312"/>
          <w:sz w:val="32"/>
          <w:szCs w:val="22"/>
        </w:rPr>
        <w:t>，通过学习实践提升综合素质和专业能力，体现正确的择业就业观念。参赛学生可获得实习机会。</w:t>
      </w:r>
    </w:p>
    <w:p w14:paraId="1110AD69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Times New Roman" w:hAnsi="Times New Roman" w:eastAsia="黑体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 w:val="32"/>
          <w:szCs w:val="32"/>
        </w:rPr>
        <w:t>二、参赛组别和对象</w:t>
      </w:r>
    </w:p>
    <w:p w14:paraId="49B351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Times New Roman" w:hAnsi="Times New Roman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成长赛道设高教组和职教组，</w:t>
      </w:r>
      <w:r>
        <w:rPr>
          <w:rFonts w:hint="eastAsia" w:ascii="仿宋_GB2312" w:hAnsi="仿宋_GB2312" w:eastAsia="仿宋_GB2312" w:cs="仿宋_GB2312"/>
          <w:sz w:val="32"/>
          <w:szCs w:val="22"/>
        </w:rPr>
        <w:t>参赛对象为普通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高等学校全日制</w:t>
      </w:r>
      <w:r>
        <w:rPr>
          <w:rFonts w:hint="eastAsia" w:ascii="Times New Roman" w:hAnsi="Times New Roman" w:eastAsia="仿宋_GB2312" w:cs="仿宋_GB2312"/>
          <w:sz w:val="32"/>
          <w:szCs w:val="22"/>
        </w:rPr>
        <w:t>本、专科非毕业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年级在校学生。高教组主要面向普通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本科非毕业年级学生，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职教组主要面向职教本科、高职（专科）非毕业年级学生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</w:rPr>
        <w:t>。</w:t>
      </w:r>
    </w:p>
    <w:p w14:paraId="6336DA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Times New Roman" w:hAnsi="Times New Roman" w:eastAsia="黑体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 w:val="32"/>
          <w:szCs w:val="32"/>
        </w:rPr>
        <w:t>三、参赛材料要求</w:t>
      </w:r>
    </w:p>
    <w:p w14:paraId="4A2E5C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22"/>
        </w:rPr>
      </w:pPr>
      <w:r>
        <w:rPr>
          <w:rFonts w:hint="eastAsia" w:ascii="Times New Roman" w:hAnsi="Times New Roman" w:eastAsia="仿宋_GB2312" w:cs="仿宋_GB2312"/>
          <w:sz w:val="32"/>
          <w:szCs w:val="22"/>
        </w:rPr>
        <w:t>选手在大赛平台（</w:t>
      </w:r>
      <w:r>
        <w:rPr>
          <w:rFonts w:ascii="Times New Roman" w:hAnsi="Times New Roman" w:eastAsia="仿宋_GB2312" w:cs="Times New Roman"/>
          <w:spacing w:val="-6"/>
          <w:sz w:val="32"/>
          <w:szCs w:val="22"/>
        </w:rPr>
        <w:t>网址：</w:t>
      </w:r>
      <w:r>
        <w:rPr>
          <w:rFonts w:ascii="Times New Roman" w:hAnsi="Times New Roman" w:eastAsia="仿宋_GB2312" w:cs="Times New Roman"/>
          <w:sz w:val="32"/>
          <w:szCs w:val="22"/>
        </w:rPr>
        <w:t>zgs.chsi.com.cn）</w:t>
      </w:r>
      <w:r>
        <w:rPr>
          <w:rFonts w:hint="eastAsia" w:ascii="Times New Roman" w:hAnsi="Times New Roman" w:eastAsia="仿宋_GB2312" w:cs="仿宋_GB2312"/>
          <w:sz w:val="32"/>
          <w:szCs w:val="22"/>
        </w:rPr>
        <w:t>提交以下参赛材料：</w:t>
      </w:r>
    </w:p>
    <w:p w14:paraId="58AC97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2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（一）生涯发展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报告：介绍设定职业目标的过程；实现职业目标的具体行动和成效；职业目标及行动的动态调整等（</w:t>
      </w:r>
      <w:r>
        <w:rPr>
          <w:rFonts w:ascii="Times New Roman" w:hAnsi="Times New Roman" w:eastAsia="仿宋_GB2312" w:cs="Times New Roman"/>
          <w:sz w:val="32"/>
          <w:szCs w:val="22"/>
        </w:rPr>
        <w:t>PDF</w:t>
      </w:r>
      <w:r>
        <w:rPr>
          <w:rFonts w:hint="eastAsia" w:ascii="仿宋_GB2312" w:hAnsi="仿宋_GB2312" w:eastAsia="仿宋_GB2312" w:cs="仿宋_GB2312"/>
          <w:sz w:val="32"/>
          <w:szCs w:val="22"/>
        </w:rPr>
        <w:t>格式，文字不超过</w:t>
      </w:r>
      <w:r>
        <w:rPr>
          <w:rFonts w:ascii="Times New Roman" w:hAnsi="Times New Roman" w:eastAsia="仿宋_GB2312" w:cs="Times New Roman"/>
          <w:sz w:val="32"/>
          <w:szCs w:val="22"/>
        </w:rPr>
        <w:t>2000</w:t>
      </w:r>
      <w:r>
        <w:rPr>
          <w:rFonts w:hint="eastAsia" w:ascii="仿宋_GB2312" w:hAnsi="仿宋_GB2312" w:eastAsia="仿宋_GB2312" w:cs="仿宋_GB2312"/>
          <w:sz w:val="32"/>
          <w:szCs w:val="22"/>
        </w:rPr>
        <w:t>字，图表不超</w:t>
      </w:r>
      <w:r>
        <w:rPr>
          <w:rFonts w:ascii="Times New Roman" w:hAnsi="Times New Roman" w:eastAsia="仿宋_GB2312" w:cs="Times New Roman"/>
          <w:sz w:val="32"/>
          <w:szCs w:val="22"/>
        </w:rPr>
        <w:t>过5</w:t>
      </w:r>
      <w:r>
        <w:rPr>
          <w:rFonts w:hint="eastAsia" w:ascii="Times New Roman" w:hAnsi="Times New Roman" w:eastAsia="仿宋_GB2312" w:cs="Times New Roman"/>
          <w:sz w:val="32"/>
          <w:szCs w:val="22"/>
        </w:rPr>
        <w:t>张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 w:cs="仿宋_GB2312"/>
          <w:sz w:val="32"/>
          <w:szCs w:val="22"/>
        </w:rPr>
        <w:t>。</w:t>
      </w:r>
    </w:p>
    <w:p w14:paraId="3EBD8B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22"/>
        </w:rPr>
      </w:pPr>
      <w:r>
        <w:rPr>
          <w:rFonts w:hint="eastAsia" w:ascii="Times New Roman" w:hAnsi="Times New Roman" w:eastAsia="仿宋_GB2312" w:cs="仿宋_GB2312"/>
          <w:sz w:val="32"/>
          <w:szCs w:val="22"/>
        </w:rPr>
        <w:t>（二）生涯发展展示（PPT格式，不超过50MB；可加入视频）。</w:t>
      </w:r>
    </w:p>
    <w:p w14:paraId="10C11FE4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Times New Roman" w:hAnsi="Times New Roman" w:eastAsia="黑体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 w:val="32"/>
          <w:szCs w:val="32"/>
        </w:rPr>
        <w:t>四、比赛环节</w:t>
      </w:r>
    </w:p>
    <w:p w14:paraId="714F8A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成长赛道设主题陈述、评委提问和天降实习</w:t>
      </w:r>
      <w:r>
        <w:rPr>
          <w:rFonts w:ascii="Times New Roman" w:hAnsi="Times New Roman" w:eastAsia="仿宋_GB2312" w:cs="仿宋_GB2312"/>
          <w:color w:val="000000"/>
          <w:sz w:val="32"/>
          <w:szCs w:val="32"/>
        </w:rPr>
        <w:t>offer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（实习意向）环节。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各环节根据实际情况可适当调整。</w:t>
      </w:r>
    </w:p>
    <w:p w14:paraId="686A3E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22"/>
        </w:rPr>
        <w:t>（一）主题陈述（7分钟）：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选手结合生涯发展报告作陈述。</w:t>
      </w:r>
    </w:p>
    <w:p w14:paraId="7ABBB3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22"/>
        </w:rPr>
        <w:t>（二）评委提问（5分钟）：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评委结合选手陈述和现场表现提问。</w:t>
      </w:r>
    </w:p>
    <w:p w14:paraId="46C6AA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22"/>
        </w:rPr>
        <w:t>（三）天降实习offer（2分钟）：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用人单位根据选手表现，决定是否给出实习意向，并对选手</w:t>
      </w:r>
      <w:r>
        <w:rPr>
          <w:rFonts w:hint="eastAsia" w:ascii="仿宋_GB2312" w:hAnsi="仿宋_GB2312" w:eastAsia="仿宋_GB2312" w:cs="仿宋_GB2312"/>
          <w:sz w:val="32"/>
          <w:szCs w:val="22"/>
        </w:rPr>
        <w:t>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点评。</w:t>
      </w:r>
    </w:p>
    <w:p w14:paraId="5CDA536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Times New Roman" w:hAnsi="Times New Roman" w:eastAsia="黑体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 w:val="32"/>
          <w:szCs w:val="32"/>
        </w:rPr>
        <w:t>评审标准</w:t>
      </w:r>
    </w:p>
    <w:tbl>
      <w:tblPr>
        <w:tblStyle w:val="3"/>
        <w:tblpPr w:leftFromText="180" w:rightFromText="180" w:vertAnchor="text" w:horzAnchor="page" w:tblpX="1875" w:tblpY="68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6358"/>
        <w:gridCol w:w="803"/>
      </w:tblGrid>
      <w:tr w14:paraId="32093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797" w:type="pct"/>
            <w:vAlign w:val="center"/>
          </w:tcPr>
          <w:p w14:paraId="2FD98C6E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指标</w:t>
            </w:r>
          </w:p>
        </w:tc>
        <w:tc>
          <w:tcPr>
            <w:tcW w:w="3731" w:type="pct"/>
            <w:vAlign w:val="center"/>
          </w:tcPr>
          <w:p w14:paraId="7E0F9586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说明</w:t>
            </w:r>
          </w:p>
        </w:tc>
        <w:tc>
          <w:tcPr>
            <w:tcW w:w="471" w:type="pct"/>
            <w:vAlign w:val="center"/>
          </w:tcPr>
          <w:p w14:paraId="44800F85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分值</w:t>
            </w:r>
          </w:p>
        </w:tc>
      </w:tr>
      <w:tr w14:paraId="3983D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797" w:type="pct"/>
            <w:vMerge w:val="restart"/>
            <w:vAlign w:val="center"/>
          </w:tcPr>
          <w:p w14:paraId="5D89A167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职业目标</w:t>
            </w:r>
          </w:p>
        </w:tc>
        <w:tc>
          <w:tcPr>
            <w:tcW w:w="3731" w:type="pct"/>
            <w:vAlign w:val="center"/>
          </w:tcPr>
          <w:p w14:paraId="21C113CC">
            <w:pPr>
              <w:numPr>
                <w:ilvl w:val="255"/>
                <w:numId w:val="0"/>
              </w:numPr>
              <w:adjustRightInd/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职业目标能够将个人理想与国家需要、经济社会发展相结合，体现正确的择业就业观念</w:t>
            </w:r>
          </w:p>
        </w:tc>
        <w:tc>
          <w:tcPr>
            <w:tcW w:w="471" w:type="pct"/>
            <w:vMerge w:val="restart"/>
            <w:vAlign w:val="center"/>
          </w:tcPr>
          <w:p w14:paraId="70337833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30</w:t>
            </w:r>
          </w:p>
        </w:tc>
      </w:tr>
      <w:tr w14:paraId="75F48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</w:trPr>
        <w:tc>
          <w:tcPr>
            <w:tcW w:w="797" w:type="pct"/>
            <w:vMerge w:val="continue"/>
            <w:vAlign w:val="center"/>
          </w:tcPr>
          <w:p w14:paraId="2F03BECC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731" w:type="pct"/>
            <w:vAlign w:val="center"/>
          </w:tcPr>
          <w:p w14:paraId="390E03C1">
            <w:pPr>
              <w:numPr>
                <w:ilvl w:val="255"/>
                <w:numId w:val="0"/>
              </w:numPr>
              <w:adjustRightInd/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结合所学专业多渠道了解相关行业发展趋势和就业市场需求，综合分析个人能力优势、兴趣特长、成长路径等，合理设定职业目标或方向</w:t>
            </w:r>
          </w:p>
        </w:tc>
        <w:tc>
          <w:tcPr>
            <w:tcW w:w="471" w:type="pct"/>
            <w:vMerge w:val="continue"/>
            <w:vAlign w:val="center"/>
          </w:tcPr>
          <w:p w14:paraId="470A6E54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015F0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exact"/>
        </w:trPr>
        <w:tc>
          <w:tcPr>
            <w:tcW w:w="797" w:type="pct"/>
            <w:vMerge w:val="continue"/>
            <w:vAlign w:val="center"/>
          </w:tcPr>
          <w:p w14:paraId="057F73B1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731" w:type="pct"/>
            <w:vAlign w:val="center"/>
          </w:tcPr>
          <w:p w14:paraId="36D0C292">
            <w:pPr>
              <w:numPr>
                <w:ilvl w:val="255"/>
                <w:numId w:val="0"/>
              </w:numPr>
              <w:adjustRightInd/>
              <w:snapToGrid w:val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基于职业目标对综合素质和专业能力等方面要求，科学分析个人现实情况与职业目标间的差距，制定合理可行的成长计划</w:t>
            </w:r>
          </w:p>
        </w:tc>
        <w:tc>
          <w:tcPr>
            <w:tcW w:w="471" w:type="pct"/>
            <w:vMerge w:val="continue"/>
            <w:vAlign w:val="center"/>
          </w:tcPr>
          <w:p w14:paraId="20C190D2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3E964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97" w:type="pct"/>
            <w:vMerge w:val="restart"/>
            <w:vAlign w:val="center"/>
          </w:tcPr>
          <w:p w14:paraId="1DD3EC7F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学习实践行动</w:t>
            </w:r>
          </w:p>
        </w:tc>
        <w:tc>
          <w:tcPr>
            <w:tcW w:w="3731" w:type="pct"/>
            <w:vAlign w:val="center"/>
          </w:tcPr>
          <w:p w14:paraId="09D2718E">
            <w:pPr>
              <w:adjustRightInd/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围绕目标职业要求，结合学校育人特色和所学专业，利用学校及社会资源开展学习实践</w:t>
            </w:r>
          </w:p>
        </w:tc>
        <w:tc>
          <w:tcPr>
            <w:tcW w:w="471" w:type="pct"/>
            <w:vMerge w:val="restart"/>
            <w:vAlign w:val="center"/>
          </w:tcPr>
          <w:p w14:paraId="7210C833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50</w:t>
            </w:r>
          </w:p>
        </w:tc>
      </w:tr>
      <w:tr w14:paraId="031C3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97" w:type="pct"/>
            <w:vMerge w:val="continue"/>
            <w:vAlign w:val="center"/>
          </w:tcPr>
          <w:p w14:paraId="5226B2B3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731" w:type="pct"/>
            <w:vAlign w:val="center"/>
          </w:tcPr>
          <w:p w14:paraId="3B9D12D9">
            <w:pPr>
              <w:adjustRightInd/>
              <w:snapToGrid w:val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学习实践行动取得阶段性标志性成果，接近职业目标要求</w:t>
            </w:r>
          </w:p>
        </w:tc>
        <w:tc>
          <w:tcPr>
            <w:tcW w:w="471" w:type="pct"/>
            <w:vMerge w:val="continue"/>
            <w:vAlign w:val="center"/>
          </w:tcPr>
          <w:p w14:paraId="40EFCEF7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50D72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797" w:type="pct"/>
            <w:vAlign w:val="center"/>
          </w:tcPr>
          <w:p w14:paraId="115BA587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优化改进</w:t>
            </w:r>
          </w:p>
        </w:tc>
        <w:tc>
          <w:tcPr>
            <w:tcW w:w="3731" w:type="pct"/>
            <w:vAlign w:val="center"/>
          </w:tcPr>
          <w:p w14:paraId="4B52FCE5">
            <w:pPr>
              <w:adjustRightInd/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及时对学习实践行动成效进行自我评估和反思，总结分析收获、不足和原因，在成长过程中对职业目标和学习实践行动路径进行动态优化</w:t>
            </w:r>
          </w:p>
        </w:tc>
        <w:tc>
          <w:tcPr>
            <w:tcW w:w="471" w:type="pct"/>
            <w:vAlign w:val="center"/>
          </w:tcPr>
          <w:p w14:paraId="0F076DEB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20</w:t>
            </w:r>
          </w:p>
        </w:tc>
      </w:tr>
      <w:tr w14:paraId="292A4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797" w:type="pct"/>
            <w:shd w:val="clear" w:color="auto" w:fill="auto"/>
            <w:vAlign w:val="center"/>
          </w:tcPr>
          <w:p w14:paraId="03577983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总分</w:t>
            </w:r>
          </w:p>
        </w:tc>
        <w:tc>
          <w:tcPr>
            <w:tcW w:w="3731" w:type="pct"/>
            <w:shd w:val="clear" w:color="auto" w:fill="auto"/>
            <w:vAlign w:val="center"/>
          </w:tcPr>
          <w:p w14:paraId="097B5C17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6"/>
                <w:szCs w:val="26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14:paraId="2B900421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Times New Roman" w:hAnsi="Times New Roman" w:eastAsia="仿宋_GB2312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 w:cs="Times New Roman"/>
                <w:sz w:val="26"/>
                <w:szCs w:val="26"/>
              </w:rPr>
              <w:t>100</w:t>
            </w:r>
          </w:p>
        </w:tc>
      </w:tr>
    </w:tbl>
    <w:p w14:paraId="68B58BD2"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Times New Roman" w:hAnsi="Times New Roman" w:eastAsia="黑体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 w:val="32"/>
          <w:szCs w:val="32"/>
        </w:rPr>
        <w:t>六、奖项设置</w:t>
      </w:r>
    </w:p>
    <w:p w14:paraId="685181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成长赛道设置金奖、银奖、铜奖，以及优秀指导教师奖等奖项。</w:t>
      </w:r>
    </w:p>
    <w:p w14:paraId="356FDC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FF0804"/>
    <w:multiLevelType w:val="singleLevel"/>
    <w:tmpl w:val="FAFF080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C7A4B"/>
    <w:rsid w:val="38CC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2025-10-20T23:55:00Z</dcterms:created>
  <dc:creator>123</dc:creator>
  <cp:lastModifiedBy>123</cp:lastModifiedBy>
  <dcterms:modified xsi:type="dcterms:W3CDTF">2025-10-20T23:55:58Z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6DACAF8C8C74419CA304A8941C034D71_11</vt:lpwstr>
  </property>
  <property fmtid="{D5CDD505-2E9C-101B-9397-08002B2CF9AE}" pid="4" name="KSOTemplateDocerSaveRecord">
    <vt:lpwstr>eyJoZGlkIjoiNGU1NDIwZGVjODg1M2Q2YjZiMzYyMGUyMmM2ZmJiMzIiLCJ1c2VySWQiOiIxNDEyMDU4NjU1In0=</vt:lpwstr>
  </property>
</Properties>
</file>