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C23B">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0E0F42A7">
      <w:pPr>
        <w:rPr>
          <w:rFonts w:ascii="仿宋" w:hAnsi="仿宋" w:eastAsia="仿宋" w:cs="仿宋"/>
          <w:b/>
          <w:color w:val="FF3300"/>
          <w:w w:val="66"/>
          <w:sz w:val="32"/>
          <w:szCs w:val="32"/>
        </w:rPr>
      </w:pPr>
    </w:p>
    <w:p w14:paraId="6180E4A5">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 xml:space="preserve"> 23 </w:t>
      </w:r>
      <w:r>
        <w:rPr>
          <w:rFonts w:hint="eastAsia" w:ascii="仿宋" w:hAnsi="仿宋" w:eastAsia="仿宋"/>
          <w:sz w:val="32"/>
          <w:szCs w:val="32"/>
        </w:rPr>
        <w:t>号</w:t>
      </w:r>
    </w:p>
    <w:p w14:paraId="4C37D1DD">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14:paraId="572DDDD3">
      <w:pPr>
        <w:rPr>
          <w:rFonts w:ascii="仿宋_GB2312" w:eastAsia="仿宋_GB2312"/>
          <w:color w:val="FF3300"/>
          <w:sz w:val="28"/>
          <w:szCs w:val="28"/>
          <w:u w:val="thick"/>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640F3F0">
      <w:pPr>
        <w:jc w:val="center"/>
      </w:pPr>
    </w:p>
    <w:p w14:paraId="435416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24</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5</w:t>
      </w:r>
      <w:r>
        <w:rPr>
          <w:rFonts w:hint="eastAsia" w:ascii="黑体" w:hAnsi="黑体" w:eastAsia="黑体" w:cs="黑体"/>
          <w:b/>
          <w:bCs/>
          <w:sz w:val="44"/>
          <w:szCs w:val="44"/>
        </w:rPr>
        <w:t>学年第</w:t>
      </w:r>
      <w:r>
        <w:rPr>
          <w:rFonts w:hint="eastAsia" w:ascii="黑体" w:hAnsi="黑体" w:eastAsia="黑体" w:cs="黑体"/>
          <w:b/>
          <w:bCs/>
          <w:sz w:val="44"/>
          <w:szCs w:val="44"/>
          <w:lang w:val="en-US" w:eastAsia="zh-CN"/>
        </w:rPr>
        <w:t>二</w:t>
      </w:r>
      <w:r>
        <w:rPr>
          <w:rFonts w:hint="eastAsia" w:ascii="黑体" w:hAnsi="黑体" w:eastAsia="黑体" w:cs="黑体"/>
          <w:b/>
          <w:bCs/>
          <w:sz w:val="44"/>
          <w:szCs w:val="44"/>
        </w:rPr>
        <w:t>学期转专业工作</w:t>
      </w:r>
      <w:r>
        <w:rPr>
          <w:rFonts w:hint="eastAsia" w:ascii="黑体" w:hAnsi="黑体" w:eastAsia="黑体" w:cs="黑体"/>
          <w:b/>
          <w:bCs/>
          <w:sz w:val="44"/>
          <w:szCs w:val="44"/>
          <w:lang w:val="en-US" w:eastAsia="zh-CN"/>
        </w:rPr>
        <w:t>方案</w:t>
      </w:r>
    </w:p>
    <w:p w14:paraId="2E0390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14:paraId="2F0E0A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强化学生的专业特长，提高学生学习的积极性、主动性和创造性，根据《南昌大学共青学院学生学籍管理细则（修订）》（共院发〔2023〕69号）、《南昌大学共青学院学生转专业管理办法（修订）》（共院发〔2023〕154号）文件规定，为确保转专业工作的公平、公正、公开，现制定本实施方案。</w:t>
      </w:r>
    </w:p>
    <w:p w14:paraId="5D540A72">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宋体" w:hAnsi="宋体" w:eastAsia="宋体" w:cs="宋体"/>
          <w:b/>
          <w:bCs/>
          <w:sz w:val="28"/>
          <w:szCs w:val="28"/>
          <w:lang w:val="en-US" w:eastAsia="zh-CN"/>
        </w:rPr>
      </w:pPr>
      <w:r>
        <w:rPr>
          <w:rFonts w:hint="eastAsia" w:ascii="仿宋_GB2312" w:eastAsia="仿宋_GB2312"/>
          <w:b/>
          <w:bCs/>
          <w:sz w:val="32"/>
          <w:szCs w:val="32"/>
          <w:lang w:val="en-US" w:eastAsia="zh-CN"/>
        </w:rPr>
        <w:t>一、组织领导</w:t>
      </w:r>
    </w:p>
    <w:p w14:paraId="6291DD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成立由分管教学工作的副校长为组长，教务处、招就处、学工处、纪委及各学院负责人为成员的工作小组。负责学生资格审核、考试命题、考试安排、阅卷等相关工作。</w:t>
      </w:r>
    </w:p>
    <w:p w14:paraId="7E5F20C2">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二、报名条件</w:t>
      </w:r>
    </w:p>
    <w:p w14:paraId="4D6759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2023级、2024级已注册缴费的本科学生（有过转专业经历的除外），在校期间没有受过纪律处分。</w:t>
      </w:r>
    </w:p>
    <w:p w14:paraId="62F67820">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三、有关规定</w:t>
      </w:r>
    </w:p>
    <w:p w14:paraId="2E3636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学生转专业不得跨大类，即文科考生只能申请转入文科类或文理兼收类专业；理科考生只能申请转入理科类或文理兼收类专业；艺术类考生只能申请转入艺术类专业。高考生源地省份属于综合改革的，则高考时选考科目需满足转入专业高考选考科目要求。</w:t>
      </w:r>
    </w:p>
    <w:p w14:paraId="16FCC1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0"/>
          <w:szCs w:val="30"/>
          <w:lang w:val="en-US" w:eastAsia="zh-CN"/>
        </w:rPr>
      </w:pPr>
      <w:r>
        <w:rPr>
          <w:rFonts w:hint="eastAsia" w:ascii="仿宋_GB2312" w:eastAsia="仿宋_GB2312"/>
          <w:sz w:val="32"/>
          <w:szCs w:val="32"/>
          <w:lang w:val="en-US" w:eastAsia="zh-CN"/>
        </w:rPr>
        <w:t>2.每个专业</w:t>
      </w:r>
      <w:r>
        <w:rPr>
          <w:rFonts w:hint="eastAsia" w:ascii="仿宋_GB2312" w:eastAsia="仿宋_GB2312"/>
          <w:sz w:val="30"/>
          <w:szCs w:val="30"/>
          <w:lang w:val="en-US" w:eastAsia="zh-CN"/>
        </w:rPr>
        <w:t>转入和转出学生人数由各学院根据学院实际情况决定，转入、转出学生人数原则上不超过该专业所在年级学生数的10%，人数少于20人的专业原则上不允许转出。</w:t>
      </w:r>
    </w:p>
    <w:p w14:paraId="25893D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2"/>
          <w:szCs w:val="32"/>
          <w:lang w:val="en-US" w:eastAsia="zh-CN"/>
        </w:rPr>
      </w:pPr>
      <w:r>
        <w:rPr>
          <w:rFonts w:hint="eastAsia" w:ascii="仿宋_GB2312" w:eastAsia="仿宋_GB2312"/>
          <w:sz w:val="30"/>
          <w:szCs w:val="30"/>
          <w:lang w:val="en-US" w:eastAsia="zh-CN"/>
        </w:rPr>
        <w:t>3.</w:t>
      </w:r>
      <w:r>
        <w:rPr>
          <w:rFonts w:hint="eastAsia" w:ascii="仿宋_GB2312" w:eastAsia="仿宋_GB2312"/>
          <w:sz w:val="32"/>
          <w:szCs w:val="32"/>
          <w:lang w:val="en-US" w:eastAsia="zh-CN"/>
        </w:rPr>
        <w:t>学生在申请转专业时，应慎重考虑，一经批准转专业，不得更改。转入新专业后，对于新专业未修读的课程必须补修，需达到转入专业培养方案的毕业要求才能毕业，具体咨询转入学院。</w:t>
      </w:r>
    </w:p>
    <w:p w14:paraId="2EAD5B07">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四、各专业拟接收人数和考试内容</w:t>
      </w:r>
    </w:p>
    <w:p w14:paraId="622692B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各专业拟接收人数和考试内容见附件3：南昌大学共青学院2023级、2024级本科学生转专业相关信息</w:t>
      </w:r>
    </w:p>
    <w:p w14:paraId="3020D750">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五、具体流程</w:t>
      </w:r>
    </w:p>
    <w:p w14:paraId="0CD275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30"/>
          <w:szCs w:val="30"/>
          <w:lang w:val="en-US" w:eastAsia="zh-CN"/>
        </w:rPr>
      </w:pPr>
      <w:r>
        <w:rPr>
          <w:rFonts w:hint="eastAsia" w:ascii="宋体" w:hAnsi="宋体" w:cs="宋体"/>
          <w:b/>
          <w:bCs/>
          <w:sz w:val="28"/>
          <w:szCs w:val="28"/>
          <w:lang w:val="en-US" w:eastAsia="zh-CN"/>
        </w:rPr>
        <w:t xml:space="preserve"> </w:t>
      </w:r>
      <w:r>
        <w:rPr>
          <w:rFonts w:hint="eastAsia" w:ascii="仿宋_GB2312" w:eastAsia="仿宋_GB2312"/>
          <w:b/>
          <w:bCs/>
          <w:sz w:val="30"/>
          <w:szCs w:val="30"/>
          <w:lang w:val="en-US" w:eastAsia="zh-CN"/>
        </w:rPr>
        <w:t>1.申请时间：</w:t>
      </w:r>
    </w:p>
    <w:p w14:paraId="36F6E10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（1）4月7日-4月14日符合报名条件的学生向所在二级学院教务办提出书面申请（申请书辅导员需签意见），并填写《南昌大学共青学院转专业申请表》（附件1） ，经转出和转入学院审核同意后交所在学院教务办。</w:t>
      </w:r>
    </w:p>
    <w:p w14:paraId="76DEEF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（2）4月15日由各二级学院将学生申请书、《南昌大学共青学院转专业申请表》（附件1）、《南昌大学共青学院学生转专业汇总表》（附件2</w:t>
      </w:r>
      <w:bookmarkStart w:id="0" w:name="_GoBack"/>
      <w:bookmarkEnd w:id="0"/>
      <w:r>
        <w:rPr>
          <w:rFonts w:hint="eastAsia" w:ascii="仿宋_GB2312" w:eastAsia="仿宋_GB2312"/>
          <w:sz w:val="30"/>
          <w:szCs w:val="30"/>
          <w:lang w:val="en-US" w:eastAsia="zh-CN"/>
        </w:rPr>
        <w:t>）汇总审核后交教务处学籍科（电子版及纸质版盖章）。</w:t>
      </w:r>
    </w:p>
    <w:p w14:paraId="7D1DEA8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2.考核时间：</w:t>
      </w:r>
    </w:p>
    <w:p w14:paraId="70A9B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笔试时间：5月13日下午 （详见准考证）。需增加面试的专业，面试时间为5月中下旬，具体时间由接收学院另行通知。</w:t>
      </w:r>
    </w:p>
    <w:p w14:paraId="798CB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3.审批时间：</w:t>
      </w:r>
    </w:p>
    <w:p w14:paraId="3FDE2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highlight w:val="none"/>
          <w:lang w:val="en-US" w:eastAsia="zh-CN"/>
        </w:rPr>
        <w:t>6月初，根据</w:t>
      </w:r>
      <w:r>
        <w:rPr>
          <w:rFonts w:hint="eastAsia" w:ascii="仿宋_GB2312" w:eastAsia="仿宋_GB2312"/>
          <w:sz w:val="30"/>
          <w:szCs w:val="30"/>
          <w:lang w:val="en-US" w:eastAsia="zh-CN"/>
        </w:rPr>
        <w:t>成绩择优录取，公示拟录取名单，公示无异议后，学院下发正式文件，书面通知学生。</w:t>
      </w:r>
    </w:p>
    <w:p w14:paraId="0E053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4.新专业报到时间：</w:t>
      </w:r>
    </w:p>
    <w:p w14:paraId="2D61F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下一学期开学后，被批准转专业的学生持教务处下发的转专业通知单到转入专业所在教务办报到注册。</w:t>
      </w:r>
    </w:p>
    <w:p w14:paraId="6F01833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7F49F9A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附件1：《南昌大学共青学院转专业申请表》</w:t>
      </w:r>
    </w:p>
    <w:p w14:paraId="7EC566B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附件2：《南昌大学共青学院学生转专业汇总表》</w:t>
      </w:r>
    </w:p>
    <w:p w14:paraId="7DFCE27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附件3-1：南昌大学共青学院2023级、2024级本科学生转专业相关信息</w:t>
      </w:r>
    </w:p>
    <w:p w14:paraId="200C2BE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附件3-2：工程技术学院转专业面试工作实施细则</w:t>
      </w:r>
    </w:p>
    <w:p w14:paraId="116350B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4CB2606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2E611772">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南昌大学共青学院</w:t>
      </w:r>
    </w:p>
    <w:p w14:paraId="2B1599A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教 务 处</w:t>
      </w:r>
    </w:p>
    <w:p w14:paraId="0B6E08C5">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仿宋_GB2312" w:eastAsia="仿宋_GB2312"/>
          <w:sz w:val="32"/>
          <w:szCs w:val="32"/>
          <w:lang w:val="en-US" w:eastAsia="zh-CN"/>
        </w:rPr>
      </w:pPr>
      <w:r>
        <w:rPr>
          <w:rFonts w:hint="eastAsia" w:ascii="仿宋_GB2312" w:eastAsia="仿宋_GB2312"/>
          <w:sz w:val="30"/>
          <w:szCs w:val="30"/>
          <w:lang w:val="en-US" w:eastAsia="zh-CN"/>
        </w:rPr>
        <w:t>2025年4月3日</w:t>
      </w:r>
    </w:p>
    <w:p w14:paraId="3DAA627F">
      <w:pPr>
        <w:jc w:val="both"/>
      </w:pPr>
    </w:p>
    <w:tbl>
      <w:tblPr>
        <w:tblStyle w:val="6"/>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14:paraId="39622C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14:paraId="2778BA64">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14:paraId="637249D0">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lang w:val="zh-CN"/>
              </w:rPr>
              <w:t>年</w:t>
            </w:r>
            <w:r>
              <w:rPr>
                <w:rFonts w:hint="eastAsia" w:ascii="仿宋_GB2312" w:eastAsia="仿宋_GB2312"/>
                <w:sz w:val="32"/>
                <w:szCs w:val="32"/>
                <w:lang w:val="en-US" w:eastAsia="zh-CN"/>
              </w:rPr>
              <w:t>4</w:t>
            </w:r>
            <w:r>
              <w:rPr>
                <w:rFonts w:hint="eastAsia" w:ascii="仿宋_GB2312" w:eastAsia="仿宋_GB2312"/>
                <w:sz w:val="32"/>
                <w:szCs w:val="32"/>
                <w:lang w:val="zh-CN"/>
              </w:rPr>
              <w:t>月</w:t>
            </w:r>
            <w:r>
              <w:rPr>
                <w:rFonts w:hint="eastAsia" w:ascii="仿宋_GB2312" w:eastAsia="仿宋_GB2312"/>
                <w:sz w:val="32"/>
                <w:szCs w:val="32"/>
                <w:lang w:val="en-US" w:eastAsia="zh-CN"/>
              </w:rPr>
              <w:t>3</w:t>
            </w:r>
            <w:r>
              <w:rPr>
                <w:rFonts w:hint="eastAsia" w:ascii="仿宋_GB2312" w:eastAsia="仿宋_GB2312"/>
                <w:sz w:val="32"/>
                <w:szCs w:val="32"/>
                <w:lang w:val="zh-CN"/>
              </w:rPr>
              <w:t>日印发</w:t>
            </w:r>
          </w:p>
        </w:tc>
      </w:tr>
    </w:tbl>
    <w:p w14:paraId="5B388B8F">
      <w:pPr>
        <w:rPr>
          <w:rFonts w:ascii="仿宋" w:hAnsi="仿宋" w:eastAsia="仿宋" w:cs="仿宋"/>
          <w:sz w:val="15"/>
          <w:szCs w:val="15"/>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A31655-BE9F-4F40-801A-5E7D5FBDF5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8531BC1-9385-42E4-8F93-A0853D915F72}"/>
  </w:font>
  <w:font w:name="微软雅黑">
    <w:panose1 w:val="020B0503020204020204"/>
    <w:charset w:val="86"/>
    <w:family w:val="swiss"/>
    <w:pitch w:val="default"/>
    <w:sig w:usb0="80000287" w:usb1="2ACF3C50" w:usb2="00000016" w:usb3="00000000" w:csb0="0004001F" w:csb1="00000000"/>
    <w:embedRegular r:id="rId3" w:fontKey="{5286A1AF-95BD-4CE7-8FC5-F6A429F04641}"/>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4" w:fontKey="{6A17C0FA-9FD6-4FF3-9311-33666F2DEC1D}"/>
  </w:font>
  <w:font w:name="仿宋_GB2312">
    <w:altName w:val="仿宋"/>
    <w:panose1 w:val="00000000000000000000"/>
    <w:charset w:val="86"/>
    <w:family w:val="modern"/>
    <w:pitch w:val="default"/>
    <w:sig w:usb0="00000000" w:usb1="00000000" w:usb2="00000010" w:usb3="00000000" w:csb0="00040000" w:csb1="00000000"/>
    <w:embedRegular r:id="rId5" w:fontKey="{9C392059-E072-4C84-85FF-471F89F21900}"/>
  </w:font>
  <w:font w:name="方正小标宋简体">
    <w:panose1 w:val="02000000000000000000"/>
    <w:charset w:val="86"/>
    <w:family w:val="auto"/>
    <w:pitch w:val="default"/>
    <w:sig w:usb0="00000001" w:usb1="08000000" w:usb2="00000000" w:usb3="00000000" w:csb0="00040000" w:csb1="00000000"/>
    <w:embedRegular r:id="rId6" w:fontKey="{978D502D-B149-4F79-8624-70E43868E9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2EE3">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OTM0ODlkYWVhYWFiNWZlYmY0MWVhN2NhYzZlMDY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872EBD"/>
    <w:rsid w:val="00AD4B97"/>
    <w:rsid w:val="00AF3060"/>
    <w:rsid w:val="00B20A21"/>
    <w:rsid w:val="00BF3D86"/>
    <w:rsid w:val="00C336FA"/>
    <w:rsid w:val="00D04D3E"/>
    <w:rsid w:val="00D20B7A"/>
    <w:rsid w:val="00D955EA"/>
    <w:rsid w:val="00DB2444"/>
    <w:rsid w:val="00F17EA3"/>
    <w:rsid w:val="00F56DF2"/>
    <w:rsid w:val="00F91EFE"/>
    <w:rsid w:val="03D52274"/>
    <w:rsid w:val="05C20251"/>
    <w:rsid w:val="080B0F92"/>
    <w:rsid w:val="09B0791D"/>
    <w:rsid w:val="0B6947A3"/>
    <w:rsid w:val="0F373F4B"/>
    <w:rsid w:val="12BF58DE"/>
    <w:rsid w:val="14BB28ED"/>
    <w:rsid w:val="157139A9"/>
    <w:rsid w:val="17A32DEB"/>
    <w:rsid w:val="17C90AA4"/>
    <w:rsid w:val="1B552E3E"/>
    <w:rsid w:val="2096173F"/>
    <w:rsid w:val="21486F6B"/>
    <w:rsid w:val="231714DD"/>
    <w:rsid w:val="231E77CA"/>
    <w:rsid w:val="23BD6FE3"/>
    <w:rsid w:val="26CC07BD"/>
    <w:rsid w:val="27423F70"/>
    <w:rsid w:val="2E0D10C4"/>
    <w:rsid w:val="2EB2680C"/>
    <w:rsid w:val="2F0D603C"/>
    <w:rsid w:val="3146016D"/>
    <w:rsid w:val="33260700"/>
    <w:rsid w:val="33C229DF"/>
    <w:rsid w:val="3437693D"/>
    <w:rsid w:val="34A820AB"/>
    <w:rsid w:val="34C1451D"/>
    <w:rsid w:val="365C1A2A"/>
    <w:rsid w:val="37347302"/>
    <w:rsid w:val="37C9717C"/>
    <w:rsid w:val="391A0D07"/>
    <w:rsid w:val="3A8328DC"/>
    <w:rsid w:val="3AA06FEA"/>
    <w:rsid w:val="3C577B7C"/>
    <w:rsid w:val="3F1510D1"/>
    <w:rsid w:val="3F767DDB"/>
    <w:rsid w:val="401A7A2B"/>
    <w:rsid w:val="406A4A22"/>
    <w:rsid w:val="415B4183"/>
    <w:rsid w:val="425A7321"/>
    <w:rsid w:val="44E122B1"/>
    <w:rsid w:val="453E3FCF"/>
    <w:rsid w:val="45BA4E2C"/>
    <w:rsid w:val="483F0240"/>
    <w:rsid w:val="4D622825"/>
    <w:rsid w:val="4F18319B"/>
    <w:rsid w:val="521D4F6D"/>
    <w:rsid w:val="55B17D0B"/>
    <w:rsid w:val="563E2F6E"/>
    <w:rsid w:val="570D1A54"/>
    <w:rsid w:val="58F5279F"/>
    <w:rsid w:val="59134BB6"/>
    <w:rsid w:val="5CD44264"/>
    <w:rsid w:val="5FAD7930"/>
    <w:rsid w:val="60CA4511"/>
    <w:rsid w:val="625B3673"/>
    <w:rsid w:val="657A46B8"/>
    <w:rsid w:val="657F1D6E"/>
    <w:rsid w:val="6BED2A05"/>
    <w:rsid w:val="6D9D5488"/>
    <w:rsid w:val="70F4438C"/>
    <w:rsid w:val="70FF5B11"/>
    <w:rsid w:val="711361A6"/>
    <w:rsid w:val="71F0523C"/>
    <w:rsid w:val="72847BE2"/>
    <w:rsid w:val="73C3376E"/>
    <w:rsid w:val="756845CD"/>
    <w:rsid w:val="76674885"/>
    <w:rsid w:val="783E1615"/>
    <w:rsid w:val="7947211F"/>
    <w:rsid w:val="7951177A"/>
    <w:rsid w:val="7A9E7181"/>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正文文本 字符"/>
    <w:basedOn w:val="7"/>
    <w:link w:val="2"/>
    <w:autoRedefine/>
    <w:qFormat/>
    <w:uiPriority w:val="1"/>
    <w:rPr>
      <w:rFonts w:ascii="宋体" w:hAnsi="宋体" w:eastAsia="宋体" w:cs="宋体"/>
      <w:sz w:val="32"/>
      <w:szCs w:val="32"/>
      <w:lang w:val="zh-CN" w:bidi="zh-CN"/>
    </w:rPr>
  </w:style>
  <w:style w:type="paragraph" w:styleId="11">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1105</Words>
  <Characters>1168</Characters>
  <Lines>1</Lines>
  <Paragraphs>1</Paragraphs>
  <TotalTime>279</TotalTime>
  <ScaleCrop>false</ScaleCrop>
  <LinksUpToDate>false</LinksUpToDate>
  <CharactersWithSpaces>1217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小完美</cp:lastModifiedBy>
  <cp:lastPrinted>2025-04-03T02:52:00Z</cp:lastPrinted>
  <dcterms:modified xsi:type="dcterms:W3CDTF">2025-04-03T08:04:32Z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90C40C0E3B664192B098188C7C614167</vt:lpwstr>
  </property>
  <property fmtid="{D5CDD505-2E9C-101B-9397-08002B2CF9AE}" pid="4" name="KSOTemplateDocerSaveRecord">
    <vt:lpwstr>eyJoZGlkIjoiNGRlOTM0ODlkYWVhYWFiNWZlYmY0MWVhN2NhYzZlMDYiLCJ1c2VySWQiOiIyNzA5ODI3NDcifQ==</vt:lpwstr>
  </property>
</Properties>
</file>