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spacing w:val="-30"/>
          <w:w w:val="66"/>
          <w:sz w:val="84"/>
          <w:szCs w:val="84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1465580</wp:posOffset>
                </wp:positionH>
                <wp:positionV relativeFrom="paragraph">
                  <wp:posOffset>781050</wp:posOffset>
                </wp:positionV>
                <wp:extent cx="25146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D0D0D"/>
                                <w:sz w:val="28"/>
                                <w:szCs w:val="28"/>
                              </w:rPr>
                              <w:t>共院平安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color w:val="0D0D0D"/>
                                <w:sz w:val="28"/>
                                <w:szCs w:val="28"/>
                              </w:rPr>
                              <w:t>函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color w:val="0D0D0D"/>
                                <w:sz w:val="28"/>
                                <w:szCs w:val="28"/>
                              </w:rPr>
                              <w:t>〔20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color w:val="0D0D0D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color w:val="0D0D0D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color w:val="0D0D0D"/>
                                <w:sz w:val="28"/>
                                <w:szCs w:val="28"/>
                              </w:rPr>
                              <w:t>〕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color w:val="0D0D0D"/>
                                <w:sz w:val="28"/>
                                <w:szCs w:val="28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color w:val="0D0D0D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宋体" w:hAnsi="宋体" w:cs="宋体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4pt;margin-top:61.5pt;height:39pt;width:198pt;mso-position-horizontal-relative:margin;z-index:251659264;mso-width-relative:page;mso-height-relative:page;" filled="f" stroked="f" coordsize="21600,21600" o:gfxdata="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yazArVAAAACwEAAA8AAAAAAAAAAQAgAAAAIgAAAGRycy9kb3ducmV2LnhtbFBLAQIUABQA&#10;AAAIAIdO4kDJso3KugEAAGUDAAAOAAAAAAAAAAEAIAAAACQ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20" w:lineRule="exact"/>
                        <w:jc w:val="center"/>
                        <w:rPr>
                          <w:rFonts w:ascii="宋体" w:hAnsi="宋体" w:cs="宋体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D0D0D"/>
                          <w:sz w:val="28"/>
                          <w:szCs w:val="28"/>
                        </w:rPr>
                        <w:t>共院平安</w:t>
                      </w:r>
                      <w:r>
                        <w:rPr>
                          <w:rFonts w:ascii="宋体" w:hAnsi="宋体" w:cs="宋体"/>
                          <w:b/>
                          <w:color w:val="0D0D0D"/>
                          <w:sz w:val="28"/>
                          <w:szCs w:val="28"/>
                        </w:rPr>
                        <w:t>函</w:t>
                      </w:r>
                      <w:r>
                        <w:rPr>
                          <w:rFonts w:hint="eastAsia" w:ascii="宋体" w:hAnsi="宋体" w:cs="宋体"/>
                          <w:b/>
                          <w:color w:val="0D0D0D"/>
                          <w:sz w:val="28"/>
                          <w:szCs w:val="28"/>
                        </w:rPr>
                        <w:t>〔20</w:t>
                      </w:r>
                      <w:r>
                        <w:rPr>
                          <w:rFonts w:ascii="宋体" w:hAnsi="宋体" w:cs="宋体"/>
                          <w:b/>
                          <w:color w:val="0D0D0D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color w:val="0D0D0D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cs="宋体"/>
                          <w:b/>
                          <w:color w:val="0D0D0D"/>
                          <w:sz w:val="28"/>
                          <w:szCs w:val="28"/>
                        </w:rPr>
                        <w:t>〕</w:t>
                      </w:r>
                      <w:r>
                        <w:rPr>
                          <w:rFonts w:hint="eastAsia" w:ascii="宋体" w:hAnsi="宋体" w:cs="宋体"/>
                          <w:b/>
                          <w:color w:val="0D0D0D"/>
                          <w:sz w:val="28"/>
                          <w:szCs w:val="28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宋体" w:hAnsi="宋体" w:cs="宋体"/>
                          <w:b/>
                          <w:color w:val="0D0D0D"/>
                          <w:sz w:val="28"/>
                          <w:szCs w:val="28"/>
                        </w:rPr>
                        <w:t>号</w:t>
                      </w:r>
                    </w:p>
                    <w:p>
                      <w:pPr>
                        <w:snapToGrid w:val="0"/>
                        <w:spacing w:line="520" w:lineRule="exact"/>
                        <w:jc w:val="center"/>
                        <w:rPr>
                          <w:rFonts w:ascii="宋体" w:hAnsi="宋体" w:cs="宋体"/>
                          <w:color w:val="0D0D0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FF0000"/>
          <w:spacing w:val="-30"/>
          <w:w w:val="66"/>
          <w:sz w:val="84"/>
          <w:szCs w:val="84"/>
        </w:rPr>
        <w:t>南昌大学共青学院平安建设工作文件</w:t>
      </w:r>
    </w:p>
    <w:p>
      <w:pPr>
        <w:rPr>
          <w:rFonts w:ascii="宋体" w:hAnsi="宋体" w:cs="宋体"/>
        </w:rPr>
      </w:pPr>
    </w:p>
    <w:p>
      <w:pPr>
        <w:jc w:val="both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90"/>
          <w:szCs w:val="90"/>
          <w:u w:val="single"/>
        </w:rPr>
        <w:t xml:space="preserve">                </w:t>
      </w:r>
      <w:r>
        <w:rPr>
          <w:rFonts w:hint="eastAsia" w:ascii="宋体" w:hAnsi="宋体" w:cs="宋体"/>
          <w:b/>
          <w:color w:val="FF0000"/>
          <w:sz w:val="90"/>
          <w:szCs w:val="90"/>
          <w:u w:val="single"/>
          <w:lang w:val="en-US" w:eastAsia="zh-CN"/>
        </w:rPr>
        <w:t xml:space="preserve">     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关于开展暑期安全大检查工作的通知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6月18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上午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召开暑期安全工作布置会暨第二季度安全稳定工作例会，部署了近期校园安全稳定工作。会议要求，各单位要立即组织开展一次全覆盖的安全大检查，现将有关事项通知如下：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绕“从根本上消除隐患、从根本上解决问题”的总体目标，坚持安全第一、预防为主，全面排查校园安全隐患问题，全面梳理安全工作短板，进一步推动安全责任落实，提高隐患排查整改质量，提升发现问题和解决问题能力，切实减少一般事故，有效控制较大事故，坚决杜绝重特大事故，以高水平安全保障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排查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三、排查重点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各单位要按照“管行业必须管安全，管业务必须管安全，管生产经营必须管安全”原则，结合《校园安全隐患排查整改任务清单》（附件1），围绕意识形态、网络安全、消防安全、治安安全、实验室及危化品安全、学生安全管理、心理健康、社会实践、校舍安全、用电安全、设施设备安全、校车安全等方面立即组织开展一次全覆盖的安全工作自查。对假期校园内停用的场所和设施设备，特别是用水、用电、用气设备以及危化品存储设备，要落实安全监管责任和具体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加强组织领导。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各单位主要负责同志要亲自部署安全大检查工作，亲自跟进隐患问题整改闭环，落实专人专管，加强工作调度，着力减少危险源，保障校园稳定大局。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注重工作实效。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各单位要迅速制定安全大检查工作方案，形成隐患问题排查整改清单，排查出的隐患问题填写《校园安全隐患排查整改进度表》（附件 2），落实首要责任人、具体负责人“双签字”要求。要跟踪隐患问题整改进度，对重大隐患问题不能立即整改的，要落实好稳控措施。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（三）强化考核问责。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校园安全大检查工作落实情况纳入年度平安建设考核。对安全大检查工作责任不落实、措施不得力、隐患问题整改不到位的，严肃问责；对隐患排查工作走形式、走过场，隐患问题瞒报、漏报，发生安全事件的，顶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（四）加强信息报送。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 月 3 日 17:00 前，将本单位《校园安全隐患排查整改进度表》电子档报学院平安办苏老师，纸质盖章件由单位首要责任人、具体责任人签字、盖章报学院平安办备案。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1.校园安全隐患排查整改任务清单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2.校园安全隐患排查整改进度表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南昌大学共青学院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4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平安办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0" w:firstLineChars="2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2024年6月26日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page"/>
      </w:r>
    </w:p>
    <w:tbl>
      <w:tblPr>
        <w:tblW w:w="140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87"/>
        <w:gridCol w:w="918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校园安全隐患排查整改任务清单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任务类型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排查重点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意识形态及网络安全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加强校园网信息监控和舆论引导，切实做好关键信息基础设施和信息系统的防护；是否加强重要网络的保障，做好网络安全应急响应工作；是否从严审批校内研讨会、报告会、论坛，严格审批院内哲学社会科学学术活动和群聚状态社会公益性活动，防范互联网炒作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定期对安全疏散通道、消防设施设备、消防车道等进行全面排查；是否严厉整治违规用火用电、违规停放电动自行车、私拉乱接电线、堵塞消防通道等行为；是否严格落实施工明火作业审批制度和安全管理规定；是否规范配置消防装备和器材；是否强化人员消防安全培训、演练，做好初期火灾处置准备；各项工作台账是否完备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治安安全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制定并严格落实值班巡逻、防范守护、治安安全检查等安全保卫制度；是否配齐配强专兼职安全保卫人员；是否按照相关标准聘用专职保安员，保安员是否存在超龄、无证上岗问题；校园安防八件套等器械器材是否配备到位；围墙、护栏等实体防范设施建设是否达标，校园门口是否设有符合要求的防冲撞设施；校园一键式紧急报警、视频监控系统建设是否100%达标，是否与属地公安机关、教育部门联网；是否落实门卫值守制度，是否严格落实外来人员、车辆及物品的出入登记、安全检查制度；各项台账是否完备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加强食品安全日常管理；围绕采购、贮存、加工、配送、供餐筹关键环节，是否健全学校食品安全风险防控体系；是否定期开展食品安全自查自纠，降低食品安全风险，及时消除食品安全隐患；饮用水设备是否定期清洗消毒；是否加强食品卫生安全教育；各项工作台账是否完备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后勤处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实验室及危化品安全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建立和完善实验室安全责任体系和实验室安全检查排查制度；是否对实验室重要危险源进行巡查并做好巡查记录；对于暑期停用的实验室，是否切断水、电、气源，关好门窗，贴好封条；暑假仍需运行的实验室，是否提前进行实验风险评估，制定安全预案；是否落实实验室房间不得留宿；是否落实实验室值班制，开展定期巡查，做好应急处置；危险化学品购买是否存在违规；是否建立危险化学品储存、使用、废弃处置等台账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学生安全管理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掌握暑期留校学生基本情况并建立工作台账，包括留校人数、住宿安排、留校原因；是否与暑期留校学生家长进行家校联系；是否对暑期留校学生开展线下安全教育，告知相关管理要求；是否制定暑期留校学生管理方案（含晚查房等）、应急预案；是否根据留校学生人数按1：200配备值班老师在校值班，严格执行晚查房制度；是否了解所有学生学业情况，尤其是挂科学生情况；是否及时告知学生家长学生挂科情况，开展有效家校联系；是否对学业问题学生一人一策跟踪管理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学工处、各系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建立学生心理辅导和干预制度；是否开展学生心理健康教育；是否安排暑期心理咨询活动；是否按规定比例配备心理辅导人员；是否对暑期留校学生心理状况进行动态评估；是否持续关注留校特殊学生的思想行为动态，逐一与家长电话沟通；是否对留校心理问题学生、重点关注学生建立暑期一对一关注帮扶台账，全面做好跟踪管理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社会实践安全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是否加强社会实践队伍管理，是否进行每日安全报备，是否指导老师全程参与社会实践活动，是否加强防疫、食品、交通、防溺水、防诈骗等安全教育；是否告知学生家长返程安排；各项工作台账是否完备。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教务处、各系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校舍安全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加强校舍安全管理，是否对校舍楼宇、危旧房屋、地下室、建筑工地等重要部位加强管理和检查，在建工地等场所是否设置醒目的警示标志；重点要害部位是否加装安全防护设施；校园公共照明、休闲桌椅、围栏、护栏、地面道路、路牙、停车位、雨棚、停车棚、指示牌、告知牌、井盖等是否完好；各项工作台账是否完备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后勤处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用电安全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对校园用电设备加强排查，校内用电设备、电线电缆是否存在隐患、是否存在超期服役现象；变电所是否严格执行值班巡视制度、交接班制度、出入登记制度、工作票制度、操作票制度；各项工作台账是否完备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后勤处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设施设备安全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加强后勤基础设施的安全管理，对配电间、油气输送管道、电网线路、水电气设施等重点部位，电梯、中央空调、锅炉、压力容器等重点特种设备，开展全方位的安全性、可靠性检查和维护；各项工作台账是否完备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后勤处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校车安全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是否健全校车安全管理制度；是否配备校车安全管理人员；车辆是否符合安全标准并定期检查维护；各项台账是否完备。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后勤处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自然灾害安全</w:t>
            </w:r>
          </w:p>
        </w:tc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是否加强对强降雨、雷电等自然灾害防范工作；是否积极与当地气象、防汛抗旱等部门加强沟通；是否有健全的突发自然灾害应急处置方案并组织进行演练；各项台账是否完备。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党政办、平安办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0" w:firstLineChars="2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W w:w="14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05"/>
        <w:gridCol w:w="4110"/>
        <w:gridCol w:w="3585"/>
        <w:gridCol w:w="1305"/>
        <w:gridCol w:w="241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校园安全隐患排查整改进度表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报送单位（盖章）：                    首要责任人（签字）：                        具体责任人（签字）：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隐患类型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隐患问题描述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隐患整改情况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整改时限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责任人及职务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1.隐患问题描述，聚焦关键人、关键事、关键地点，清晰陈述。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2.隐患整改情况，聚焦整改措施，整改后效果。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3.完成整改情况，根据整改进度填写已整改、未整改、待整改。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64C51"/>
    <w:multiLevelType w:val="singleLevel"/>
    <w:tmpl w:val="A6964C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4F97C8"/>
    <w:multiLevelType w:val="singleLevel"/>
    <w:tmpl w:val="224F97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WVhZDlmNjk1Njg1MThjYTFkM2I2NTdhMWI5NWIifQ=="/>
  </w:docVars>
  <w:rsids>
    <w:rsidRoot w:val="2BCB7F91"/>
    <w:rsid w:val="10C41913"/>
    <w:rsid w:val="18DE027D"/>
    <w:rsid w:val="2BCB7F91"/>
    <w:rsid w:val="34874900"/>
    <w:rsid w:val="40C90050"/>
    <w:rsid w:val="438D15DE"/>
    <w:rsid w:val="4D921BE0"/>
    <w:rsid w:val="4DBC0187"/>
    <w:rsid w:val="54F77A3A"/>
    <w:rsid w:val="60C03D7F"/>
    <w:rsid w:val="6A741FBD"/>
    <w:rsid w:val="721D43FF"/>
    <w:rsid w:val="793A69F9"/>
    <w:rsid w:val="7CC9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2684</Words>
  <Characters>2700</Characters>
  <Lines>0</Lines>
  <Paragraphs>0</Paragraphs>
  <TotalTime>11</TotalTime>
  <ScaleCrop>false</ScaleCrop>
  <LinksUpToDate>false</LinksUpToDate>
  <CharactersWithSpaces>2727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2023-05-26T09:35:00Z</dcterms:created>
  <dc:creator>1、夜bu'醉ゝ</dc:creator>
  <cp:lastModifiedBy>1、夜bu'醉ゝ</cp:lastModifiedBy>
  <dcterms:modified xsi:type="dcterms:W3CDTF">2024-06-26T01:41:40Z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3179384D35004EBDBD7B2E6052A478C4_11</vt:lpwstr>
  </property>
</Properties>
</file>