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  <w:rPr>
          <w:spacing w:val="-23"/>
          <w:w w:val="90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关于做好2023-2024学年高等学校实验室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信息数据统计工作的通知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各教学单位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根据《教育部办公厅关于报送2023-2024学年高等学校实验室信息统计数据的通知》（教高厅函〔2024〕7号）文件精神，结合我校实际，现将2023-2024学年实验室信息统计数据工作有关事宜通知如下：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填报内容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教学科研仪器设备表（基表一）、贵重仪器设备表（基表三）、教学实验项目表（基表四）、专任实验室人员表（基表五）、实验室基本情况表（基表六）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二、填报说明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1.实验室数据统计时段：2023年9月1日-2024年8月31日。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2.基表四和基表五中的“实验室编号”和“实验室名称”须与基表六保持一致。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3.各教学单位在填报数据时（基表一、基表三、基表四、基表五、基表六），请认真查看报表样式（附件2）并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仔细阅读附件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中的填报要求及注意事项（或登录高等学校实验室信息统计网http://systj.buct.edu.cn:81阅读填报要求）后认真填写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可参考去年数据，确保数据准确。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各报表教务处汇总、审核后，由教务处统一进行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数据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系统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检测，经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院领导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审批后报教育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厅。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theme="minorBidi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/>
          <w:color w:val="000000"/>
          <w:kern w:val="2"/>
          <w:sz w:val="32"/>
          <w:szCs w:val="32"/>
          <w:lang w:val="en-US" w:eastAsia="zh-CN" w:bidi="ar-SA"/>
        </w:rPr>
        <w:t>三、填报要求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1.实验室有关数据的统计报送是每年一项常规性工作，统计工作时间紧、任务重，须安排专人负责此项工作，科学把握工作进度，确保实验室信息统计数据的真实、准确、完整。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2.如需咨询填报问题联系焦海秀18770924822，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3.请各教学单位于9月23日下班前，将经校验无误后的所有基表电子档发送到344839028@qq.com，纸质版经单位主要负责人签字并加盖单位公章后报送教务处（行政楼412室）。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附件1：《教育部办公厅关于报送2023-2024学年高等学校实验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室信息统计数据的通知》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附件2：2023-2024学年高校实验室信息统计报表样式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高等学校实验室信息统计报表填报说明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教  务  处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20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Q2NWMzZWJjYzM2M2MxYmU1ZmJkMzEyOTAwNmE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5F755A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B536CF"/>
    <w:rsid w:val="03D52274"/>
    <w:rsid w:val="080B0F92"/>
    <w:rsid w:val="0F8D6217"/>
    <w:rsid w:val="12324CB7"/>
    <w:rsid w:val="1342785F"/>
    <w:rsid w:val="1FEB1684"/>
    <w:rsid w:val="21911111"/>
    <w:rsid w:val="2A1532D7"/>
    <w:rsid w:val="2E692241"/>
    <w:rsid w:val="354457B6"/>
    <w:rsid w:val="3BD917A7"/>
    <w:rsid w:val="3E2475EC"/>
    <w:rsid w:val="3F767DDB"/>
    <w:rsid w:val="401A7A2B"/>
    <w:rsid w:val="44E122B1"/>
    <w:rsid w:val="48B4240B"/>
    <w:rsid w:val="4CCE2FBB"/>
    <w:rsid w:val="4F091ADF"/>
    <w:rsid w:val="59134BB6"/>
    <w:rsid w:val="5CD44264"/>
    <w:rsid w:val="5CD75178"/>
    <w:rsid w:val="63A42824"/>
    <w:rsid w:val="70F4438C"/>
    <w:rsid w:val="744D4DE6"/>
    <w:rsid w:val="7947211F"/>
    <w:rsid w:val="7951177A"/>
    <w:rsid w:val="79955FEF"/>
    <w:rsid w:val="7B962618"/>
    <w:rsid w:val="7C156B31"/>
    <w:rsid w:val="7E4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uiPriority w:val="0"/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3">
    <w:name w:val="List Paragraph"/>
    <w:basedOn w:val="1"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631</Words>
  <Characters>749</Characters>
  <Lines>1</Lines>
  <Paragraphs>1</Paragraphs>
  <TotalTime>4</TotalTime>
  <ScaleCrop>false</ScaleCrop>
  <LinksUpToDate>false</LinksUpToDate>
  <CharactersWithSpaces>840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海绵</cp:lastModifiedBy>
  <cp:lastPrinted>2024-05-10T00:27:00Z</cp:lastPrinted>
  <dcterms:modified xsi:type="dcterms:W3CDTF">2024-09-05T02:08:08Z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90C40C0E3B664192B098188C7C614167</vt:lpwstr>
  </property>
</Properties>
</file>