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FF3300"/>
          <w:w w:val="66"/>
          <w:sz w:val="120"/>
          <w:szCs w:val="120"/>
        </w:rPr>
      </w:pPr>
      <w:r>
        <w:rPr>
          <w:rFonts w:ascii="宋体" w:hAnsi="宋体"/>
          <w:b/>
          <w:color w:val="FF3300"/>
          <w:w w:val="66"/>
          <w:sz w:val="120"/>
          <w:szCs w:val="120"/>
        </w:rPr>
        <w:pict>
          <v:shape id="_x0000_i1025" o:spt="136" type="#_x0000_t136" style="height:60pt;width:452.4pt;" fillcolor="#FF0000" filled="t" stroked="t" coordsize="21600,21600">
            <v:path/>
            <v:fill on="t" focussize="0,0"/>
            <v:stroke color="#FF0000"/>
            <v:imagedata o:title=""/>
            <o:lock v:ext="edit"/>
            <v:textpath on="t" fitshape="t" fitpath="t" trim="t" xscale="f" string="南昌大学共青学院部门函件&#10;" style="font-family:微软雅黑;font-size:36pt;v-text-align:center;"/>
            <w10:wrap type="none"/>
            <w10:anchorlock/>
          </v:shape>
        </w:pict>
      </w:r>
    </w:p>
    <w:p>
      <w:pPr>
        <w:rPr>
          <w:rFonts w:ascii="仿宋" w:hAnsi="仿宋" w:eastAsia="仿宋" w:cs="仿宋"/>
          <w:b/>
          <w:color w:val="FF3300"/>
          <w:w w:val="66"/>
          <w:sz w:val="32"/>
          <w:szCs w:val="32"/>
        </w:rPr>
      </w:pPr>
    </w:p>
    <w:p>
      <w:pPr>
        <w:spacing w:line="540" w:lineRule="exact"/>
        <w:jc w:val="center"/>
        <w:rPr>
          <w:rFonts w:ascii="仿宋" w:hAnsi="仿宋" w:eastAsia="仿宋" w:cs="仿宋"/>
          <w:b/>
          <w:color w:val="FF3300"/>
          <w:w w:val="66"/>
          <w:sz w:val="32"/>
          <w:szCs w:val="32"/>
        </w:rPr>
      </w:pPr>
      <w:r>
        <w:rPr>
          <w:rFonts w:hint="eastAsia" w:ascii="仿宋" w:hAnsi="仿宋" w:eastAsia="仿宋"/>
          <w:sz w:val="32"/>
          <w:szCs w:val="32"/>
        </w:rPr>
        <w:t>共院教函﹝2024﹞</w:t>
      </w:r>
      <w:r>
        <w:rPr>
          <w:rFonts w:hint="eastAsia" w:ascii="仿宋" w:hAnsi="仿宋" w:eastAsia="仿宋"/>
          <w:sz w:val="32"/>
          <w:szCs w:val="32"/>
          <w:lang w:val="en-US" w:eastAsia="zh-CN"/>
        </w:rPr>
        <w:t>19</w:t>
      </w:r>
      <w:r>
        <w:rPr>
          <w:rFonts w:hint="eastAsia" w:ascii="仿宋" w:hAnsi="仿宋" w:eastAsia="仿宋"/>
          <w:sz w:val="32"/>
          <w:szCs w:val="32"/>
        </w:rPr>
        <w:t>号</w:t>
      </w:r>
    </w:p>
    <w:p>
      <w:pPr>
        <w:rPr>
          <w:rFonts w:ascii="仿宋_GB2312" w:eastAsia="仿宋_GB2312"/>
          <w:color w:val="FF3300"/>
          <w:sz w:val="28"/>
          <w:szCs w:val="28"/>
          <w:u w:val="thick"/>
        </w:rPr>
      </w:pPr>
      <w:bookmarkStart w:id="0" w:name="_GoBack"/>
      <w:bookmarkEnd w:id="0"/>
      <w:r>
        <w:rPr>
          <w:rFonts w:hint="eastAsia" w:ascii="仿宋" w:hAnsi="仿宋" w:eastAsia="仿宋" w:cs="仿宋"/>
          <w:sz w:val="44"/>
          <w:szCs w:val="44"/>
        </w:rPr>
        <w:drawing>
          <wp:anchor distT="0" distB="0" distL="114300" distR="114300" simplePos="0" relativeHeight="251661312" behindDoc="0" locked="0" layoutInCell="1" allowOverlap="1">
            <wp:simplePos x="0" y="0"/>
            <wp:positionH relativeFrom="column">
              <wp:posOffset>2594610</wp:posOffset>
            </wp:positionH>
            <wp:positionV relativeFrom="paragraph">
              <wp:posOffset>339725</wp:posOffset>
            </wp:positionV>
            <wp:extent cx="504825" cy="497205"/>
            <wp:effectExtent l="0" t="0" r="9525" b="17145"/>
            <wp:wrapSquare wrapText="bothSides"/>
            <wp:docPr id="1" name="图片 3" descr="160687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06871036(1)"/>
                    <pic:cNvPicPr>
                      <a:picLocks noChangeAspect="1"/>
                    </pic:cNvPicPr>
                  </pic:nvPicPr>
                  <pic:blipFill>
                    <a:blip r:embed="rId5"/>
                    <a:stretch>
                      <a:fillRect/>
                    </a:stretch>
                  </pic:blipFill>
                  <pic:spPr>
                    <a:xfrm>
                      <a:off x="0" y="0"/>
                      <a:ext cx="504825" cy="497205"/>
                    </a:xfrm>
                    <a:prstGeom prst="rect">
                      <a:avLst/>
                    </a:prstGeom>
                    <a:noFill/>
                    <a:ln>
                      <a:noFill/>
                    </a:ln>
                  </pic:spPr>
                </pic:pic>
              </a:graphicData>
            </a:graphic>
          </wp:anchor>
        </w:drawing>
      </w:r>
    </w:p>
    <w:p>
      <w:pPr>
        <w:rPr>
          <w:rFonts w:ascii="仿宋_GB2312" w:eastAsia="仿宋_GB2312"/>
          <w:color w:val="FF3300"/>
          <w:sz w:val="28"/>
          <w:szCs w:val="28"/>
          <w:u w:val="thick"/>
        </w:rPr>
      </w:pPr>
      <w:r>
        <w:rPr>
          <w:rFonts w:ascii="宋体"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3147695</wp:posOffset>
                </wp:positionH>
                <wp:positionV relativeFrom="paragraph">
                  <wp:posOffset>113030</wp:posOffset>
                </wp:positionV>
                <wp:extent cx="2418715" cy="1714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418715" cy="1714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47.85pt;margin-top:8.9pt;height:1.35pt;width:190.45pt;z-index:251659264;mso-width-relative:page;mso-height-relative:page;" filled="f" stroked="t" coordsize="21600,21600" o:gfxdata="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JlNs7WAAAACQEAAA8AAAAAAAAAAQAgAAAAIgAA&#10;AGRycy9kb3ducmV2LnhtbFBLAQIUABQAAAAIAIdO4kD9r9UlCgIAAPsDAAAOAAAAAAAAAAEAIAAA&#10;ACUBAABkcnMvZTJvRG9jLnhtbFBLBQYAAAAABgAGAFkBAAChBQAAAAA=&#10;">
                <v:fill on="f" focussize="0,0"/>
                <v:stroke weight="2.25pt" color="#FF0000" joinstyle="round"/>
                <v:imagedata o:title=""/>
                <o:lock v:ext="edit" aspectratio="f"/>
              </v:shape>
            </w:pict>
          </mc:Fallback>
        </mc:AlternateContent>
      </w:r>
      <w:r>
        <w:rPr>
          <w:rFonts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149225</wp:posOffset>
                </wp:positionV>
                <wp:extent cx="2504440" cy="190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2504440" cy="190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pt;margin-top:11.75pt;height:0.15pt;width:197.2pt;z-index:251660288;mso-width-relative:page;mso-height-relative:page;" filled="f" stroked="t" coordsize="21600,21600" o:gfxdata="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YGtE1wAAAAgBAAAPAAAAAAAAAAEAIAAAACIAAABkcnMvZG93&#10;bnJldi54bWxQSwECFAAUAAAACACHTuJABnXZXgECAADwAwAADgAAAAAAAAABACAAAAAmAQAAZHJz&#10;L2Uyb0RvYy54bWxQSwUGAAAAAAYABgBZAQAAmQUAAAAA&#10;">
                <v:fill on="f" focussize="0,0"/>
                <v:stroke weight="2.25pt" color="#FF0000" joinstyle="round"/>
                <v:imagedata o:title=""/>
                <o:lock v:ext="edit" aspectratio="f"/>
              </v:shape>
            </w:pict>
          </mc:Fallback>
        </mc:AlternateContent>
      </w:r>
    </w:p>
    <w:p>
      <w:pPr>
        <w:jc w:val="cente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黑体" w:hAnsi="黑体" w:eastAsia="黑体" w:cs="黑体"/>
          <w:b/>
          <w:bCs/>
          <w:sz w:val="44"/>
          <w:szCs w:val="44"/>
        </w:rPr>
        <w:t>20</w:t>
      </w:r>
      <w:r>
        <w:rPr>
          <w:rFonts w:hint="eastAsia" w:ascii="黑体" w:hAnsi="黑体" w:eastAsia="黑体" w:cs="黑体"/>
          <w:b/>
          <w:bCs/>
          <w:sz w:val="44"/>
          <w:szCs w:val="44"/>
          <w:lang w:val="en-US" w:eastAsia="zh-CN"/>
        </w:rPr>
        <w:t>23</w:t>
      </w:r>
      <w:r>
        <w:rPr>
          <w:rFonts w:hint="eastAsia" w:ascii="黑体" w:hAnsi="黑体" w:eastAsia="黑体" w:cs="黑体"/>
          <w:b/>
          <w:bCs/>
          <w:sz w:val="44"/>
          <w:szCs w:val="44"/>
        </w:rPr>
        <w:t>-202</w:t>
      </w:r>
      <w:r>
        <w:rPr>
          <w:rFonts w:hint="eastAsia" w:ascii="黑体" w:hAnsi="黑体" w:eastAsia="黑体" w:cs="黑体"/>
          <w:b/>
          <w:bCs/>
          <w:sz w:val="44"/>
          <w:szCs w:val="44"/>
          <w:lang w:val="en-US" w:eastAsia="zh-CN"/>
        </w:rPr>
        <w:t>4</w:t>
      </w:r>
      <w:r>
        <w:rPr>
          <w:rFonts w:hint="eastAsia" w:ascii="黑体" w:hAnsi="黑体" w:eastAsia="黑体" w:cs="黑体"/>
          <w:b/>
          <w:bCs/>
          <w:sz w:val="44"/>
          <w:szCs w:val="44"/>
        </w:rPr>
        <w:t>学年第</w:t>
      </w:r>
      <w:r>
        <w:rPr>
          <w:rFonts w:hint="eastAsia" w:ascii="黑体" w:hAnsi="黑体" w:eastAsia="黑体" w:cs="黑体"/>
          <w:b/>
          <w:bCs/>
          <w:sz w:val="44"/>
          <w:szCs w:val="44"/>
          <w:lang w:val="en-US" w:eastAsia="zh-CN"/>
        </w:rPr>
        <w:t>二</w:t>
      </w:r>
      <w:r>
        <w:rPr>
          <w:rFonts w:hint="eastAsia" w:ascii="黑体" w:hAnsi="黑体" w:eastAsia="黑体" w:cs="黑体"/>
          <w:b/>
          <w:bCs/>
          <w:sz w:val="44"/>
          <w:szCs w:val="44"/>
        </w:rPr>
        <w:t>学期转专业工作</w:t>
      </w:r>
      <w:r>
        <w:rPr>
          <w:rFonts w:hint="eastAsia" w:ascii="黑体" w:hAnsi="黑体" w:eastAsia="黑体" w:cs="黑体"/>
          <w:b/>
          <w:bCs/>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为强化学生的专业特长，提高学生学习的积极性、主动性和创造性，根据《南昌大学共青学院学生学籍管理细则（修订）》（共院发〔2023〕69号）、《南昌大学共青学院学生转专业管理办法（修订）》（共院发〔2023〕154号）文件规定，为确保转专业工作的公开、公平、公正，现制定本实施方案。</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一、组织领导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成立由分管教学工作的学院领导为组长，教务处、招就处、学工处及各系部负责人为成员的工作小组。负责学生资格审核、考试命题、考试安排、阅卷等相关工作。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二、报名条件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2023级、2022级已注册缴费的本科学生，有过转专业经历的除外，在校期间没有受过纪律处分。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三、有关规定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学生转专业不得跨大类，即文科考生只能申请转入文科类或文理兼收类专业；理科考生只能申请转入理科类或文理兼收类专业；艺术类考生只能申请转入艺术类专业。高考生源地省份属于综合改革的，则高考时选考科目需满足转入专业高考选考科目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2、每个专业转入和转出学生人数由各系部根据系部实际情况决定，转入、转出学生人数原则上不超过该专业所在年级学生数的10%，人数少于20人的专业原则上不允许转出。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3、学生在申请转专业时，应慎重考虑，一经批准转专业，不得更改。转入新专业后，对于新专业未修读的课程必须补修，需达到转入专业培养方案的毕业要求才能毕业，具体咨询转入系部。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四、各专业接收人数和考试内容</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eastAsia="仿宋_GB2312"/>
          <w:sz w:val="32"/>
          <w:szCs w:val="32"/>
          <w:lang w:val="en-US" w:eastAsia="zh-CN"/>
        </w:rPr>
      </w:pPr>
      <w:r>
        <w:rPr>
          <w:rFonts w:hint="eastAsia" w:ascii="仿宋_GB2312" w:eastAsia="仿宋_GB2312"/>
          <w:b/>
          <w:bCs/>
          <w:sz w:val="32"/>
          <w:szCs w:val="32"/>
          <w:lang w:val="en-US" w:eastAsia="zh-CN"/>
        </w:rPr>
        <w:t>23级本科</w:t>
      </w:r>
      <w:r>
        <w:rPr>
          <w:rFonts w:hint="eastAsia" w:ascii="仿宋_GB2312" w:eastAsia="仿宋_GB2312"/>
          <w:sz w:val="32"/>
          <w:szCs w:val="32"/>
          <w:lang w:val="en-US" w:eastAsia="zh-CN"/>
        </w:rPr>
        <w:t>：</w:t>
      </w:r>
    </w:p>
    <w:tbl>
      <w:tblPr>
        <w:tblStyle w:val="6"/>
        <w:tblpPr w:leftFromText="180" w:rightFromText="180" w:vertAnchor="text" w:horzAnchor="page" w:tblpX="915" w:tblpY="390"/>
        <w:tblOverlap w:val="never"/>
        <w:tblW w:w="103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7"/>
        <w:gridCol w:w="2956"/>
        <w:gridCol w:w="975"/>
        <w:gridCol w:w="1372"/>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2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系</w:t>
            </w:r>
          </w:p>
        </w:tc>
        <w:tc>
          <w:tcPr>
            <w:tcW w:w="2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专业名称</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科类</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接收人数</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考试科目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restart"/>
            <w:tcBorders>
              <w:top w:val="single" w:color="000000" w:sz="4" w:space="0"/>
              <w:left w:val="single" w:color="000000" w:sz="4" w:space="0"/>
              <w:right w:val="single" w:color="000000" w:sz="4" w:space="0"/>
            </w:tcBorders>
            <w:noWrap/>
            <w:vAlign w:val="center"/>
          </w:tcPr>
          <w:p>
            <w:pPr>
              <w:jc w:val="center"/>
              <w:rPr>
                <w:rFonts w:hint="default" w:ascii="仿宋" w:hAnsi="仿宋" w:eastAsia="仿宋" w:cs="宋体"/>
                <w:color w:val="auto"/>
                <w:kern w:val="2"/>
                <w:sz w:val="28"/>
                <w:szCs w:val="28"/>
                <w:lang w:val="en-US" w:eastAsia="zh-CN" w:bidi="ar-SA"/>
              </w:rPr>
            </w:pPr>
            <w:r>
              <w:rPr>
                <w:rFonts w:hint="eastAsia" w:ascii="仿宋" w:hAnsi="仿宋" w:eastAsia="仿宋" w:cs="宋体"/>
                <w:color w:val="auto"/>
                <w:kern w:val="2"/>
                <w:sz w:val="28"/>
                <w:szCs w:val="28"/>
                <w:lang w:val="en-US" w:eastAsia="zh-CN" w:bidi="ar-SA"/>
              </w:rPr>
              <w:t>工程技术系</w:t>
            </w:r>
          </w:p>
        </w:tc>
        <w:tc>
          <w:tcPr>
            <w:tcW w:w="2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材料成型及控制工程</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理工</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机械制图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continue"/>
            <w:tcBorders>
              <w:left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p>
        </w:tc>
        <w:tc>
          <w:tcPr>
            <w:tcW w:w="2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电气工程及其自动化</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理工</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高等数学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continue"/>
            <w:tcBorders>
              <w:left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p>
        </w:tc>
        <w:tc>
          <w:tcPr>
            <w:tcW w:w="2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olor w:val="auto"/>
                <w:sz w:val="28"/>
                <w:szCs w:val="28"/>
                <w:lang w:val="en-US" w:eastAsia="zh-CN"/>
              </w:rPr>
            </w:pPr>
            <w:r>
              <w:rPr>
                <w:rFonts w:hint="eastAsia" w:ascii="仿宋" w:hAnsi="仿宋" w:eastAsia="仿宋"/>
                <w:color w:val="auto"/>
                <w:sz w:val="28"/>
                <w:szCs w:val="28"/>
              </w:rPr>
              <w:t>土木工程</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理工</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土木工程制图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continue"/>
            <w:tcBorders>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p>
        </w:tc>
        <w:tc>
          <w:tcPr>
            <w:tcW w:w="2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建筑电气与智能化</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olor w:val="auto"/>
                <w:sz w:val="28"/>
                <w:szCs w:val="28"/>
              </w:rPr>
            </w:pPr>
            <w:r>
              <w:rPr>
                <w:rFonts w:hint="eastAsia" w:ascii="仿宋" w:hAnsi="仿宋" w:eastAsia="仿宋"/>
                <w:color w:val="auto"/>
                <w:sz w:val="28"/>
                <w:szCs w:val="28"/>
              </w:rPr>
              <w:t>理工</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2</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建筑工程制图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restart"/>
            <w:tcBorders>
              <w:top w:val="single" w:color="000000" w:sz="4" w:space="0"/>
              <w:left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s="宋体"/>
                <w:color w:val="auto"/>
                <w:kern w:val="2"/>
                <w:sz w:val="28"/>
                <w:szCs w:val="28"/>
                <w:lang w:val="en-US" w:eastAsia="zh-CN" w:bidi="ar-SA"/>
              </w:rPr>
              <w:t>经济管理系</w:t>
            </w:r>
          </w:p>
        </w:tc>
        <w:tc>
          <w:tcPr>
            <w:tcW w:w="2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会计学</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文理</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会计学原理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continue"/>
            <w:tcBorders>
              <w:left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p>
        </w:tc>
        <w:tc>
          <w:tcPr>
            <w:tcW w:w="2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电子商务</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文理</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微积分Ⅱ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continue"/>
            <w:tcBorders>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p>
        </w:tc>
        <w:tc>
          <w:tcPr>
            <w:tcW w:w="2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经济学</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文理</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微积分Ⅱ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restart"/>
            <w:tcBorders>
              <w:top w:val="single" w:color="000000" w:sz="4" w:space="0"/>
              <w:left w:val="single" w:color="000000" w:sz="4" w:space="0"/>
              <w:right w:val="single" w:color="000000" w:sz="4" w:space="0"/>
            </w:tcBorders>
            <w:noWrap/>
            <w:vAlign w:val="center"/>
          </w:tcPr>
          <w:p>
            <w:pPr>
              <w:jc w:val="center"/>
              <w:rPr>
                <w:rFonts w:hint="default" w:ascii="仿宋" w:hAnsi="仿宋" w:eastAsia="仿宋" w:cs="宋体"/>
                <w:color w:val="auto"/>
                <w:kern w:val="2"/>
                <w:sz w:val="28"/>
                <w:szCs w:val="28"/>
                <w:lang w:val="en-US" w:eastAsia="zh-CN" w:bidi="ar-SA"/>
              </w:rPr>
            </w:pPr>
            <w:r>
              <w:rPr>
                <w:rFonts w:hint="eastAsia" w:ascii="仿宋" w:hAnsi="仿宋" w:eastAsia="仿宋" w:cs="宋体"/>
                <w:color w:val="auto"/>
                <w:kern w:val="2"/>
                <w:sz w:val="28"/>
                <w:szCs w:val="28"/>
                <w:lang w:val="en-US" w:eastAsia="zh-CN" w:bidi="ar-SA"/>
              </w:rPr>
              <w:t>外国语言文学系</w:t>
            </w:r>
          </w:p>
        </w:tc>
        <w:tc>
          <w:tcPr>
            <w:tcW w:w="2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highlight w:val="none"/>
                <w:lang w:val="en-US" w:eastAsia="zh-CN" w:bidi="ar-SA"/>
              </w:rPr>
            </w:pPr>
            <w:r>
              <w:rPr>
                <w:rFonts w:hint="eastAsia" w:ascii="仿宋" w:hAnsi="仿宋" w:eastAsia="仿宋"/>
                <w:color w:val="auto"/>
                <w:sz w:val="28"/>
                <w:szCs w:val="28"/>
                <w:highlight w:val="none"/>
              </w:rPr>
              <w:t>英语</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highlight w:val="none"/>
                <w:lang w:val="en-US" w:eastAsia="zh-CN" w:bidi="ar-SA"/>
              </w:rPr>
            </w:pPr>
            <w:r>
              <w:rPr>
                <w:rFonts w:hint="eastAsia" w:ascii="仿宋" w:hAnsi="仿宋" w:eastAsia="仿宋"/>
                <w:color w:val="auto"/>
                <w:sz w:val="28"/>
                <w:szCs w:val="28"/>
                <w:highlight w:val="none"/>
              </w:rPr>
              <w:t>文理</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20</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综合英语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continue"/>
            <w:tcBorders>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p>
        </w:tc>
        <w:tc>
          <w:tcPr>
            <w:tcW w:w="2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商务英语</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文理</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20</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综合商务英语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restart"/>
            <w:tcBorders>
              <w:top w:val="single" w:color="000000" w:sz="4" w:space="0"/>
              <w:left w:val="single" w:color="000000" w:sz="4" w:space="0"/>
              <w:right w:val="single" w:color="000000" w:sz="4" w:space="0"/>
            </w:tcBorders>
            <w:noWrap/>
            <w:vAlign w:val="center"/>
          </w:tcPr>
          <w:p>
            <w:pPr>
              <w:jc w:val="center"/>
              <w:rPr>
                <w:rFonts w:hint="default" w:ascii="仿宋" w:hAnsi="仿宋" w:eastAsia="仿宋" w:cs="宋体"/>
                <w:color w:val="auto"/>
                <w:kern w:val="2"/>
                <w:sz w:val="28"/>
                <w:szCs w:val="28"/>
                <w:lang w:val="en-US" w:eastAsia="zh-CN" w:bidi="ar-SA"/>
              </w:rPr>
            </w:pPr>
            <w:r>
              <w:rPr>
                <w:rFonts w:hint="eastAsia" w:ascii="仿宋" w:hAnsi="仿宋" w:eastAsia="仿宋" w:cs="宋体"/>
                <w:color w:val="auto"/>
                <w:kern w:val="2"/>
                <w:sz w:val="28"/>
                <w:szCs w:val="28"/>
                <w:lang w:val="en-US" w:eastAsia="zh-CN" w:bidi="ar-SA"/>
              </w:rPr>
              <w:t>信息工程系</w:t>
            </w:r>
          </w:p>
        </w:tc>
        <w:tc>
          <w:tcPr>
            <w:tcW w:w="2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宋体"/>
                <w:color w:val="auto"/>
                <w:kern w:val="2"/>
                <w:sz w:val="28"/>
                <w:szCs w:val="28"/>
                <w:lang w:val="en-US" w:eastAsia="zh-CN" w:bidi="ar-SA"/>
              </w:rPr>
            </w:pPr>
            <w:r>
              <w:rPr>
                <w:rFonts w:hint="eastAsia" w:ascii="仿宋" w:hAnsi="仿宋" w:eastAsia="仿宋"/>
                <w:color w:val="auto"/>
                <w:sz w:val="28"/>
                <w:szCs w:val="28"/>
              </w:rPr>
              <w:t>电子信息工程</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理工</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电路分析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continue"/>
            <w:tcBorders>
              <w:left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p>
        </w:tc>
        <w:tc>
          <w:tcPr>
            <w:tcW w:w="2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计算机科学与技术</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理工</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高级语言程序设计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continue"/>
            <w:tcBorders>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p>
        </w:tc>
        <w:tc>
          <w:tcPr>
            <w:tcW w:w="2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软件工程</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理工</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高级语言程序设计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restart"/>
            <w:tcBorders>
              <w:top w:val="single" w:color="000000" w:sz="4" w:space="0"/>
              <w:left w:val="single" w:color="000000" w:sz="4" w:space="0"/>
              <w:right w:val="single" w:color="000000" w:sz="4" w:space="0"/>
            </w:tcBorders>
            <w:noWrap/>
            <w:vAlign w:val="center"/>
          </w:tcPr>
          <w:p>
            <w:pPr>
              <w:jc w:val="center"/>
              <w:rPr>
                <w:rFonts w:hint="default" w:ascii="仿宋" w:hAnsi="仿宋" w:eastAsia="仿宋" w:cs="宋体"/>
                <w:color w:val="auto"/>
                <w:kern w:val="2"/>
                <w:sz w:val="28"/>
                <w:szCs w:val="28"/>
                <w:lang w:val="en-US" w:eastAsia="zh-CN" w:bidi="ar-SA"/>
              </w:rPr>
            </w:pPr>
            <w:r>
              <w:rPr>
                <w:rFonts w:hint="eastAsia" w:ascii="仿宋" w:hAnsi="仿宋" w:eastAsia="仿宋" w:cs="宋体"/>
                <w:color w:val="auto"/>
                <w:kern w:val="2"/>
                <w:sz w:val="28"/>
                <w:szCs w:val="28"/>
                <w:lang w:val="en-US" w:eastAsia="zh-CN" w:bidi="ar-SA"/>
              </w:rPr>
              <w:t>艺术与设计系</w:t>
            </w:r>
          </w:p>
        </w:tc>
        <w:tc>
          <w:tcPr>
            <w:tcW w:w="2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服装设计与工程</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文理</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服装手绘效果图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continue"/>
            <w:tcBorders>
              <w:left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p>
        </w:tc>
        <w:tc>
          <w:tcPr>
            <w:tcW w:w="2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服装与服饰设计</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艺术</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服装手绘效果图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continue"/>
            <w:tcBorders>
              <w:left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p>
        </w:tc>
        <w:tc>
          <w:tcPr>
            <w:tcW w:w="2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环境设计</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艺术</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continue"/>
            <w:tcBorders>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p>
        </w:tc>
        <w:tc>
          <w:tcPr>
            <w:tcW w:w="2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产品设计</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艺术</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文创包装设计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宋体"/>
                <w:color w:val="auto"/>
                <w:kern w:val="2"/>
                <w:sz w:val="28"/>
                <w:szCs w:val="28"/>
                <w:lang w:val="en-US" w:eastAsia="zh-CN" w:bidi="ar-SA"/>
              </w:rPr>
            </w:pPr>
            <w:r>
              <w:rPr>
                <w:rFonts w:hint="eastAsia" w:ascii="仿宋" w:hAnsi="仿宋" w:eastAsia="仿宋" w:cs="宋体"/>
                <w:color w:val="auto"/>
                <w:kern w:val="2"/>
                <w:sz w:val="28"/>
                <w:szCs w:val="28"/>
                <w:lang w:val="en-US" w:eastAsia="zh-CN" w:bidi="ar-SA"/>
              </w:rPr>
              <w:t>中文与教育系</w:t>
            </w:r>
          </w:p>
        </w:tc>
        <w:tc>
          <w:tcPr>
            <w:tcW w:w="2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学前教育</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文理</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教育学原理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p>
        </w:tc>
        <w:tc>
          <w:tcPr>
            <w:tcW w:w="2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汉语言文学</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文史</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现代汉语</w:t>
            </w:r>
          </w:p>
        </w:tc>
      </w:tr>
    </w:tbl>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eastAsia="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22级本科：</w:t>
      </w:r>
    </w:p>
    <w:tbl>
      <w:tblPr>
        <w:tblStyle w:val="6"/>
        <w:tblpPr w:leftFromText="180" w:rightFromText="180" w:vertAnchor="text" w:horzAnchor="page" w:tblpX="915" w:tblpY="390"/>
        <w:tblOverlap w:val="never"/>
        <w:tblW w:w="103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7"/>
        <w:gridCol w:w="2952"/>
        <w:gridCol w:w="1000"/>
        <w:gridCol w:w="1351"/>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2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系</w:t>
            </w:r>
          </w:p>
        </w:tc>
        <w:tc>
          <w:tcPr>
            <w:tcW w:w="29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专业名称</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科类</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接收人数</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考试科目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restart"/>
            <w:tcBorders>
              <w:top w:val="single" w:color="000000" w:sz="4" w:space="0"/>
              <w:left w:val="single" w:color="000000" w:sz="4" w:space="0"/>
              <w:right w:val="single" w:color="000000" w:sz="4" w:space="0"/>
            </w:tcBorders>
            <w:noWrap/>
            <w:vAlign w:val="center"/>
          </w:tcPr>
          <w:p>
            <w:pPr>
              <w:jc w:val="center"/>
              <w:rPr>
                <w:rFonts w:hint="default" w:ascii="仿宋" w:hAnsi="仿宋" w:eastAsia="仿宋" w:cs="宋体"/>
                <w:color w:val="auto"/>
                <w:kern w:val="2"/>
                <w:sz w:val="28"/>
                <w:szCs w:val="28"/>
                <w:lang w:val="en-US" w:eastAsia="zh-CN" w:bidi="ar-SA"/>
              </w:rPr>
            </w:pPr>
            <w:r>
              <w:rPr>
                <w:rFonts w:hint="eastAsia" w:ascii="仿宋" w:hAnsi="仿宋" w:eastAsia="仿宋" w:cs="宋体"/>
                <w:color w:val="auto"/>
                <w:kern w:val="2"/>
                <w:sz w:val="28"/>
                <w:szCs w:val="28"/>
                <w:lang w:val="en-US" w:eastAsia="zh-CN" w:bidi="ar-SA"/>
              </w:rPr>
              <w:t>工程技术系</w:t>
            </w:r>
          </w:p>
        </w:tc>
        <w:tc>
          <w:tcPr>
            <w:tcW w:w="29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材料成型及控制工程</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理工</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2</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机械制图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continue"/>
            <w:tcBorders>
              <w:left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p>
        </w:tc>
        <w:tc>
          <w:tcPr>
            <w:tcW w:w="29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电气工程及其自动化</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理工</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1</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电路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continue"/>
            <w:tcBorders>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p>
        </w:tc>
        <w:tc>
          <w:tcPr>
            <w:tcW w:w="29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土木工程</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理工</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土木工程制图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restart"/>
            <w:tcBorders>
              <w:top w:val="single" w:color="000000" w:sz="4" w:space="0"/>
              <w:left w:val="single" w:color="000000" w:sz="4" w:space="0"/>
              <w:right w:val="single" w:color="000000" w:sz="4" w:space="0"/>
            </w:tcBorders>
            <w:noWrap/>
            <w:vAlign w:val="center"/>
          </w:tcPr>
          <w:p>
            <w:pPr>
              <w:jc w:val="center"/>
              <w:rPr>
                <w:rFonts w:hint="default" w:ascii="仿宋" w:hAnsi="仿宋" w:eastAsia="仿宋" w:cs="宋体"/>
                <w:color w:val="auto"/>
                <w:kern w:val="2"/>
                <w:sz w:val="28"/>
                <w:szCs w:val="28"/>
                <w:lang w:val="en-US" w:eastAsia="zh-CN" w:bidi="ar-SA"/>
              </w:rPr>
            </w:pPr>
            <w:r>
              <w:rPr>
                <w:rFonts w:hint="eastAsia" w:ascii="仿宋" w:hAnsi="仿宋" w:eastAsia="仿宋" w:cs="宋体"/>
                <w:color w:val="auto"/>
                <w:kern w:val="2"/>
                <w:sz w:val="28"/>
                <w:szCs w:val="28"/>
                <w:lang w:val="en-US" w:eastAsia="zh-CN" w:bidi="ar-SA"/>
              </w:rPr>
              <w:t>经济管理系</w:t>
            </w:r>
          </w:p>
        </w:tc>
        <w:tc>
          <w:tcPr>
            <w:tcW w:w="29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工商管理</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文理</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微积分Ⅱ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continue"/>
            <w:tcBorders>
              <w:left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p>
        </w:tc>
        <w:tc>
          <w:tcPr>
            <w:tcW w:w="29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会计学</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文理</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会计学原理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continue"/>
            <w:tcBorders>
              <w:left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p>
        </w:tc>
        <w:tc>
          <w:tcPr>
            <w:tcW w:w="29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电子商务</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文理</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微积分Ⅱ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continue"/>
            <w:tcBorders>
              <w:left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p>
        </w:tc>
        <w:tc>
          <w:tcPr>
            <w:tcW w:w="29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经济学</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文理</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微积分Ⅱ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continue"/>
            <w:tcBorders>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p>
        </w:tc>
        <w:tc>
          <w:tcPr>
            <w:tcW w:w="29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国际经济与贸易</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文理</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微积分Ⅱ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restart"/>
            <w:tcBorders>
              <w:top w:val="single" w:color="000000" w:sz="4" w:space="0"/>
              <w:left w:val="single" w:color="000000" w:sz="4" w:space="0"/>
              <w:right w:val="single" w:color="000000" w:sz="4" w:space="0"/>
            </w:tcBorders>
            <w:noWrap/>
            <w:vAlign w:val="center"/>
          </w:tcPr>
          <w:p>
            <w:pPr>
              <w:jc w:val="center"/>
              <w:rPr>
                <w:rFonts w:hint="default" w:ascii="仿宋" w:hAnsi="仿宋" w:eastAsia="仿宋" w:cs="宋体"/>
                <w:color w:val="auto"/>
                <w:kern w:val="2"/>
                <w:sz w:val="28"/>
                <w:szCs w:val="28"/>
                <w:lang w:val="en-US" w:eastAsia="zh-CN" w:bidi="ar-SA"/>
              </w:rPr>
            </w:pPr>
            <w:r>
              <w:rPr>
                <w:rFonts w:hint="eastAsia" w:ascii="仿宋" w:hAnsi="仿宋" w:eastAsia="仿宋" w:cs="宋体"/>
                <w:color w:val="auto"/>
                <w:kern w:val="2"/>
                <w:sz w:val="28"/>
                <w:szCs w:val="28"/>
                <w:lang w:val="en-US" w:eastAsia="zh-CN" w:bidi="ar-SA"/>
              </w:rPr>
              <w:t>外国语言文学系</w:t>
            </w:r>
          </w:p>
        </w:tc>
        <w:tc>
          <w:tcPr>
            <w:tcW w:w="29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英语</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文理</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20</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综合英语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continue"/>
            <w:tcBorders>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p>
        </w:tc>
        <w:tc>
          <w:tcPr>
            <w:tcW w:w="29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商务英语</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文理</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20</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综合商务英语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s="宋体"/>
                <w:color w:val="auto"/>
                <w:kern w:val="2"/>
                <w:sz w:val="28"/>
                <w:szCs w:val="28"/>
                <w:lang w:val="en-US" w:eastAsia="zh-CN" w:bidi="ar-SA"/>
              </w:rPr>
              <w:t>艺术与设计系</w:t>
            </w:r>
          </w:p>
        </w:tc>
        <w:tc>
          <w:tcPr>
            <w:tcW w:w="29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产品设计</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艺术</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2</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文创包装设计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restart"/>
            <w:tcBorders>
              <w:top w:val="single" w:color="000000" w:sz="4" w:space="0"/>
              <w:left w:val="single" w:color="000000" w:sz="4" w:space="0"/>
              <w:right w:val="single" w:color="000000" w:sz="4" w:space="0"/>
            </w:tcBorders>
            <w:noWrap/>
            <w:vAlign w:val="center"/>
          </w:tcPr>
          <w:p>
            <w:pPr>
              <w:jc w:val="center"/>
              <w:rPr>
                <w:rFonts w:hint="default" w:ascii="仿宋" w:hAnsi="仿宋" w:eastAsia="仿宋" w:cs="宋体"/>
                <w:color w:val="auto"/>
                <w:kern w:val="2"/>
                <w:sz w:val="28"/>
                <w:szCs w:val="28"/>
                <w:lang w:val="en-US" w:eastAsia="zh-CN" w:bidi="ar-SA"/>
              </w:rPr>
            </w:pPr>
            <w:r>
              <w:rPr>
                <w:rFonts w:hint="eastAsia" w:ascii="仿宋" w:hAnsi="仿宋" w:eastAsia="仿宋" w:cs="宋体"/>
                <w:color w:val="auto"/>
                <w:kern w:val="2"/>
                <w:sz w:val="28"/>
                <w:szCs w:val="28"/>
                <w:lang w:val="en-US" w:eastAsia="zh-CN" w:bidi="ar-SA"/>
              </w:rPr>
              <w:t>中文与教育系</w:t>
            </w:r>
          </w:p>
        </w:tc>
        <w:tc>
          <w:tcPr>
            <w:tcW w:w="29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学前教育</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文理</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教育学原理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237" w:type="dxa"/>
            <w:vMerge w:val="continue"/>
            <w:tcBorders>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p>
        </w:tc>
        <w:tc>
          <w:tcPr>
            <w:tcW w:w="295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汉语言文学</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宋体"/>
                <w:color w:val="auto"/>
                <w:kern w:val="2"/>
                <w:sz w:val="28"/>
                <w:szCs w:val="28"/>
                <w:lang w:val="en-US" w:eastAsia="zh-CN" w:bidi="ar-SA"/>
              </w:rPr>
            </w:pPr>
            <w:r>
              <w:rPr>
                <w:rFonts w:hint="eastAsia" w:ascii="仿宋" w:hAnsi="仿宋" w:eastAsia="仿宋"/>
                <w:color w:val="auto"/>
                <w:sz w:val="28"/>
                <w:szCs w:val="28"/>
              </w:rPr>
              <w:t>文史</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现代汉语</w:t>
            </w:r>
          </w:p>
        </w:tc>
      </w:tr>
    </w:tbl>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五、具体流程</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1、申请时间</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（1）4月7日-4月12日符合报名条件的学生向所在系教务办提交书面申请，并填写《南昌大学共青学院转专业申请表》和《南昌大学共青学院学生转专业汇总表》。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（2）4月16日由各系教学秘书将学生申请书（辅导员签字）、《南昌大学共青学院转专业申请表》、《南昌大学共青学院学生转专业汇总表》（电子版及纸质版盖章）汇总审核后交教务处学籍科。</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eastAsia="仿宋_GB2312"/>
          <w:sz w:val="32"/>
          <w:szCs w:val="32"/>
          <w:lang w:val="en-US" w:eastAsia="zh-CN"/>
        </w:rPr>
      </w:pPr>
      <w:r>
        <w:rPr>
          <w:rFonts w:hint="default" w:ascii="仿宋_GB2312" w:eastAsia="仿宋_GB2312"/>
          <w:b/>
          <w:bCs/>
          <w:sz w:val="32"/>
          <w:szCs w:val="32"/>
          <w:lang w:val="en-US" w:eastAsia="zh-CN"/>
        </w:rPr>
        <w:t>2、</w:t>
      </w:r>
      <w:r>
        <w:rPr>
          <w:rFonts w:hint="eastAsia" w:ascii="仿宋_GB2312" w:eastAsia="仿宋_GB2312"/>
          <w:b/>
          <w:bCs/>
          <w:sz w:val="32"/>
          <w:szCs w:val="32"/>
          <w:lang w:val="en-US" w:eastAsia="zh-CN"/>
        </w:rPr>
        <w:t>考试时间</w:t>
      </w:r>
      <w:r>
        <w:rPr>
          <w:rFonts w:hint="eastAsia" w:ascii="仿宋_GB2312" w:eastAsia="仿宋_GB2312"/>
          <w:sz w:val="32"/>
          <w:szCs w:val="32"/>
          <w:lang w:val="en-US" w:eastAsia="zh-CN"/>
        </w:rPr>
        <w:t>：5月中旬左右教务处组织统一考试（具体考试安排由教务处考试中心另行通知）。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eastAsia="仿宋_GB2312"/>
          <w:sz w:val="32"/>
          <w:szCs w:val="32"/>
          <w:lang w:val="en-US" w:eastAsia="zh-CN"/>
        </w:rPr>
      </w:pPr>
      <w:r>
        <w:rPr>
          <w:rFonts w:hint="default" w:ascii="仿宋_GB2312" w:eastAsia="仿宋_GB2312"/>
          <w:b/>
          <w:bCs/>
          <w:sz w:val="32"/>
          <w:szCs w:val="32"/>
          <w:lang w:val="en-US" w:eastAsia="zh-CN"/>
        </w:rPr>
        <w:t>3、</w:t>
      </w:r>
      <w:r>
        <w:rPr>
          <w:rFonts w:hint="eastAsia" w:ascii="仿宋_GB2312" w:eastAsia="仿宋_GB2312"/>
          <w:b/>
          <w:bCs/>
          <w:sz w:val="32"/>
          <w:szCs w:val="32"/>
          <w:lang w:val="en-US" w:eastAsia="zh-CN"/>
        </w:rPr>
        <w:t>审批时间：</w:t>
      </w:r>
      <w:r>
        <w:rPr>
          <w:rFonts w:hint="eastAsia" w:ascii="仿宋_GB2312" w:eastAsia="仿宋_GB2312"/>
          <w:sz w:val="32"/>
          <w:szCs w:val="32"/>
          <w:lang w:val="en-US" w:eastAsia="zh-CN"/>
        </w:rPr>
        <w:t>6月初，根据成绩择优录取，公示拟录取名单，公示无异议后，学院下发正式文件，书面通知学生。</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eastAsia="仿宋_GB2312"/>
          <w:sz w:val="32"/>
          <w:szCs w:val="32"/>
          <w:lang w:val="en-US" w:eastAsia="zh-CN"/>
        </w:rPr>
      </w:pPr>
      <w:r>
        <w:rPr>
          <w:rFonts w:hint="default" w:ascii="仿宋_GB2312" w:eastAsia="仿宋_GB2312"/>
          <w:b/>
          <w:bCs/>
          <w:sz w:val="32"/>
          <w:szCs w:val="32"/>
          <w:lang w:val="en-US" w:eastAsia="zh-CN"/>
        </w:rPr>
        <w:t>4、</w:t>
      </w:r>
      <w:r>
        <w:rPr>
          <w:rFonts w:hint="eastAsia" w:ascii="仿宋_GB2312" w:eastAsia="仿宋_GB2312"/>
          <w:b/>
          <w:bCs/>
          <w:sz w:val="32"/>
          <w:szCs w:val="32"/>
          <w:lang w:val="en-US" w:eastAsia="zh-CN"/>
        </w:rPr>
        <w:t>新专业报到时间：</w:t>
      </w:r>
      <w:r>
        <w:rPr>
          <w:rFonts w:hint="eastAsia" w:ascii="仿宋_GB2312" w:eastAsia="仿宋_GB2312"/>
          <w:sz w:val="32"/>
          <w:szCs w:val="32"/>
          <w:lang w:val="en-US" w:eastAsia="zh-CN"/>
        </w:rPr>
        <w:t>下一学期开学后，被批准转专业的学生持教务处下发的转专业通知单到转入专业所在系教学秘书处报到注册。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0" w:firstLineChars="20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南昌大学共青学院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教务处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2024年4月7日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p>
    <w:p>
      <w:pPr>
        <w:jc w:val="both"/>
      </w:pPr>
    </w:p>
    <w:tbl>
      <w:tblPr>
        <w:tblStyle w:val="6"/>
        <w:tblW w:w="886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433"/>
        <w:gridCol w:w="443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jc w:val="center"/>
        </w:trPr>
        <w:tc>
          <w:tcPr>
            <w:tcW w:w="4436" w:type="dxa"/>
            <w:tcBorders>
              <w:top w:val="single" w:color="auto" w:sz="12" w:space="0"/>
              <w:left w:val="nil"/>
              <w:bottom w:val="single" w:color="auto" w:sz="12" w:space="0"/>
              <w:right w:val="nil"/>
            </w:tcBorders>
          </w:tcPr>
          <w:p>
            <w:pPr>
              <w:rPr>
                <w:rFonts w:ascii="仿宋_GB2312" w:eastAsia="仿宋_GB2312"/>
                <w:sz w:val="32"/>
                <w:szCs w:val="32"/>
                <w:lang w:val="zh-CN"/>
              </w:rPr>
            </w:pPr>
            <w:r>
              <w:rPr>
                <w:rFonts w:hint="eastAsia" w:ascii="仿宋_GB2312" w:eastAsia="仿宋_GB2312"/>
                <w:sz w:val="32"/>
                <w:szCs w:val="32"/>
                <w:lang w:val="zh-CN"/>
              </w:rPr>
              <w:t>南昌大学</w:t>
            </w:r>
            <w:r>
              <w:rPr>
                <w:rFonts w:hint="eastAsia" w:ascii="仿宋_GB2312" w:eastAsia="仿宋_GB2312"/>
                <w:sz w:val="32"/>
                <w:szCs w:val="32"/>
              </w:rPr>
              <w:t>共青学院</w:t>
            </w:r>
            <w:r>
              <w:rPr>
                <w:rFonts w:hint="eastAsia" w:ascii="仿宋_GB2312" w:eastAsia="仿宋_GB2312"/>
                <w:sz w:val="32"/>
                <w:szCs w:val="32"/>
                <w:lang w:val="zh-CN"/>
              </w:rPr>
              <w:t>教务处</w:t>
            </w:r>
          </w:p>
        </w:tc>
        <w:tc>
          <w:tcPr>
            <w:tcW w:w="4436" w:type="dxa"/>
            <w:tcBorders>
              <w:top w:val="single" w:color="auto" w:sz="12" w:space="0"/>
              <w:left w:val="nil"/>
              <w:bottom w:val="single" w:color="auto" w:sz="12" w:space="0"/>
              <w:right w:val="nil"/>
            </w:tcBorders>
          </w:tcPr>
          <w:p>
            <w:pPr>
              <w:wordWrap w:val="0"/>
              <w:ind w:right="140"/>
              <w:jc w:val="right"/>
              <w:rPr>
                <w:rFonts w:ascii="仿宋_GB2312" w:eastAsia="仿宋_GB2312"/>
                <w:sz w:val="32"/>
                <w:szCs w:val="32"/>
                <w:lang w:val="zh-CN"/>
              </w:rPr>
            </w:pPr>
            <w:r>
              <w:rPr>
                <w:rFonts w:hint="eastAsia" w:ascii="仿宋_GB2312" w:eastAsia="仿宋_GB2312"/>
                <w:sz w:val="32"/>
                <w:szCs w:val="32"/>
                <w:lang w:val="zh-CN"/>
              </w:rPr>
              <w:t>20</w:t>
            </w:r>
            <w:r>
              <w:rPr>
                <w:rFonts w:hint="eastAsia" w:ascii="仿宋_GB2312" w:eastAsia="仿宋_GB2312"/>
                <w:sz w:val="32"/>
                <w:szCs w:val="32"/>
              </w:rPr>
              <w:t>24</w:t>
            </w:r>
            <w:r>
              <w:rPr>
                <w:rFonts w:hint="eastAsia" w:ascii="仿宋_GB2312" w:eastAsia="仿宋_GB2312"/>
                <w:sz w:val="32"/>
                <w:szCs w:val="32"/>
                <w:lang w:val="zh-CN"/>
              </w:rPr>
              <w:t>年</w:t>
            </w:r>
            <w:r>
              <w:rPr>
                <w:rFonts w:hint="eastAsia" w:ascii="仿宋_GB2312" w:eastAsia="仿宋_GB2312"/>
                <w:sz w:val="32"/>
                <w:szCs w:val="32"/>
                <w:lang w:val="en-US" w:eastAsia="zh-CN"/>
              </w:rPr>
              <w:t>4</w:t>
            </w:r>
            <w:r>
              <w:rPr>
                <w:rFonts w:hint="eastAsia" w:ascii="仿宋_GB2312" w:eastAsia="仿宋_GB2312"/>
                <w:sz w:val="32"/>
                <w:szCs w:val="32"/>
              </w:rPr>
              <w:t xml:space="preserve"> </w:t>
            </w:r>
            <w:r>
              <w:rPr>
                <w:rFonts w:hint="eastAsia" w:ascii="仿宋_GB2312" w:eastAsia="仿宋_GB2312"/>
                <w:sz w:val="32"/>
                <w:szCs w:val="32"/>
                <w:lang w:val="zh-CN"/>
              </w:rPr>
              <w:t>月</w:t>
            </w:r>
            <w:r>
              <w:rPr>
                <w:rFonts w:hint="eastAsia" w:ascii="仿宋_GB2312" w:eastAsia="仿宋_GB2312"/>
                <w:sz w:val="32"/>
                <w:szCs w:val="32"/>
              </w:rPr>
              <w:t xml:space="preserve"> </w:t>
            </w:r>
            <w:r>
              <w:rPr>
                <w:rFonts w:hint="eastAsia" w:ascii="仿宋_GB2312" w:eastAsia="仿宋_GB2312"/>
                <w:sz w:val="32"/>
                <w:szCs w:val="32"/>
                <w:lang w:val="en-US" w:eastAsia="zh-CN"/>
              </w:rPr>
              <w:t>7</w:t>
            </w:r>
            <w:r>
              <w:rPr>
                <w:rFonts w:hint="eastAsia" w:ascii="仿宋_GB2312" w:eastAsia="仿宋_GB2312"/>
                <w:sz w:val="32"/>
                <w:szCs w:val="32"/>
                <w:lang w:val="zh-CN"/>
              </w:rPr>
              <w:t>日印发</w:t>
            </w:r>
          </w:p>
        </w:tc>
      </w:tr>
    </w:tbl>
    <w:p>
      <w:pPr>
        <w:rPr>
          <w:rFonts w:ascii="仿宋" w:hAnsi="仿宋" w:eastAsia="仿宋" w:cs="仿宋"/>
          <w:sz w:val="15"/>
          <w:szCs w:val="15"/>
        </w:rPr>
      </w:pPr>
    </w:p>
    <w:sectPr>
      <w:footerReference r:id="rId3" w:type="default"/>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90"/>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mYjNiZmJiNmY1ZjhiZDY0NDMwYjA5YjI2OTE3MmUifQ=="/>
    <w:docVar w:name="KSO_WPS_MARK_KEY" w:val="10c8dbf5-a20d-4557-bc50-dc25aa16c045"/>
  </w:docVars>
  <w:rsids>
    <w:rsidRoot w:val="00825FBA"/>
    <w:rsid w:val="00080235"/>
    <w:rsid w:val="00211885"/>
    <w:rsid w:val="002971D6"/>
    <w:rsid w:val="002A6B52"/>
    <w:rsid w:val="00440218"/>
    <w:rsid w:val="00504065"/>
    <w:rsid w:val="0057561B"/>
    <w:rsid w:val="005A3535"/>
    <w:rsid w:val="0060269B"/>
    <w:rsid w:val="00692626"/>
    <w:rsid w:val="00722E72"/>
    <w:rsid w:val="00825FBA"/>
    <w:rsid w:val="00872EBD"/>
    <w:rsid w:val="00AD4B97"/>
    <w:rsid w:val="00AF3060"/>
    <w:rsid w:val="00B20A21"/>
    <w:rsid w:val="00BF3D86"/>
    <w:rsid w:val="00C336FA"/>
    <w:rsid w:val="00D04D3E"/>
    <w:rsid w:val="00D20B7A"/>
    <w:rsid w:val="00D955EA"/>
    <w:rsid w:val="00DB2444"/>
    <w:rsid w:val="00F17EA3"/>
    <w:rsid w:val="00F56DF2"/>
    <w:rsid w:val="00F91EFE"/>
    <w:rsid w:val="03D52274"/>
    <w:rsid w:val="05C20251"/>
    <w:rsid w:val="080B0F92"/>
    <w:rsid w:val="09B0791D"/>
    <w:rsid w:val="17A32DEB"/>
    <w:rsid w:val="2096173F"/>
    <w:rsid w:val="231E77CA"/>
    <w:rsid w:val="23BD6FE3"/>
    <w:rsid w:val="26CC07BD"/>
    <w:rsid w:val="2EB2680C"/>
    <w:rsid w:val="2F0D603C"/>
    <w:rsid w:val="33260700"/>
    <w:rsid w:val="3437693D"/>
    <w:rsid w:val="365C1A2A"/>
    <w:rsid w:val="37347302"/>
    <w:rsid w:val="391A0D07"/>
    <w:rsid w:val="3A8328DC"/>
    <w:rsid w:val="3AA06FEA"/>
    <w:rsid w:val="3C577B7C"/>
    <w:rsid w:val="3F1510D1"/>
    <w:rsid w:val="3F767DDB"/>
    <w:rsid w:val="401A7A2B"/>
    <w:rsid w:val="406A4A22"/>
    <w:rsid w:val="415B4183"/>
    <w:rsid w:val="44E122B1"/>
    <w:rsid w:val="45BA4E2C"/>
    <w:rsid w:val="4F18319B"/>
    <w:rsid w:val="521D4F6D"/>
    <w:rsid w:val="570D1A54"/>
    <w:rsid w:val="58F5279F"/>
    <w:rsid w:val="59134BB6"/>
    <w:rsid w:val="5CD44264"/>
    <w:rsid w:val="5FAD7930"/>
    <w:rsid w:val="60CA4511"/>
    <w:rsid w:val="657A46B8"/>
    <w:rsid w:val="657F1D6E"/>
    <w:rsid w:val="6D9D5488"/>
    <w:rsid w:val="70F4438C"/>
    <w:rsid w:val="70FF5B11"/>
    <w:rsid w:val="71F0523C"/>
    <w:rsid w:val="72847BE2"/>
    <w:rsid w:val="73C3376E"/>
    <w:rsid w:val="756845CD"/>
    <w:rsid w:val="76674885"/>
    <w:rsid w:val="783E1615"/>
    <w:rsid w:val="7947211F"/>
    <w:rsid w:val="7951177A"/>
    <w:rsid w:val="7BB3231A"/>
    <w:rsid w:val="7BD83B2F"/>
    <w:rsid w:val="7E4C123D"/>
    <w:rsid w:val="7F20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qFormat/>
    <w:uiPriority w:val="1"/>
    <w:pPr>
      <w:autoSpaceDE w:val="0"/>
      <w:autoSpaceDN w:val="0"/>
      <w:ind w:left="754"/>
      <w:jc w:val="left"/>
    </w:pPr>
    <w:rPr>
      <w:rFonts w:ascii="宋体" w:hAnsi="宋体" w:eastAsia="宋体" w:cs="宋体"/>
      <w:kern w:val="0"/>
      <w:sz w:val="32"/>
      <w:szCs w:val="32"/>
      <w:lang w:val="zh-CN" w:bidi="zh-CN"/>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字符"/>
    <w:basedOn w:val="7"/>
    <w:link w:val="4"/>
    <w:autoRedefine/>
    <w:qFormat/>
    <w:uiPriority w:val="99"/>
    <w:rPr>
      <w:kern w:val="2"/>
      <w:sz w:val="18"/>
      <w:szCs w:val="18"/>
    </w:rPr>
  </w:style>
  <w:style w:type="character" w:customStyle="1" w:styleId="9">
    <w:name w:val="页脚 字符"/>
    <w:basedOn w:val="7"/>
    <w:link w:val="3"/>
    <w:autoRedefine/>
    <w:qFormat/>
    <w:uiPriority w:val="99"/>
    <w:rPr>
      <w:kern w:val="2"/>
      <w:sz w:val="18"/>
      <w:szCs w:val="18"/>
    </w:rPr>
  </w:style>
  <w:style w:type="character" w:customStyle="1" w:styleId="10">
    <w:name w:val="正文文本 字符"/>
    <w:basedOn w:val="7"/>
    <w:link w:val="2"/>
    <w:autoRedefine/>
    <w:qFormat/>
    <w:uiPriority w:val="1"/>
    <w:rPr>
      <w:rFonts w:ascii="宋体" w:hAnsi="宋体" w:eastAsia="宋体" w:cs="宋体"/>
      <w:sz w:val="32"/>
      <w:szCs w:val="32"/>
      <w:lang w:val="zh-CN" w:bidi="zh-CN"/>
    </w:rPr>
  </w:style>
  <w:style w:type="paragraph" w:styleId="11">
    <w:name w:val="List Paragraph"/>
    <w:basedOn w:val="1"/>
    <w:autoRedefine/>
    <w:qFormat/>
    <w:uiPriority w:val="1"/>
    <w:pPr>
      <w:autoSpaceDE w:val="0"/>
      <w:autoSpaceDN w:val="0"/>
      <w:ind w:left="1239" w:hanging="486"/>
      <w:jc w:val="left"/>
    </w:pPr>
    <w:rPr>
      <w:rFonts w:ascii="Microsoft JhengHei" w:hAnsi="Microsoft JhengHei" w:eastAsia="Microsoft JhengHei" w:cs="Microsoft JhengHei"/>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1441</Words>
  <Characters>1487</Characters>
  <Lines>1</Lines>
  <Paragraphs>1</Paragraphs>
  <TotalTime>1</TotalTime>
  <ScaleCrop>false</ScaleCrop>
  <LinksUpToDate>false</LinksUpToDate>
  <CharactersWithSpaces>1570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2024-03-15T08:48:00Z</dcterms:created>
  <dc:creator>胡 佳</dc:creator>
  <cp:lastModifiedBy>苗苗</cp:lastModifiedBy>
  <cp:lastPrinted>2024-04-01T08:55:00Z</cp:lastPrinted>
  <dcterms:modified xsi:type="dcterms:W3CDTF">2024-04-03T07:57:30Z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90C40C0E3B664192B098188C7C614167</vt:lpwstr>
  </property>
</Properties>
</file>